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🛑 </w:t>
      </w:r>
      <w:r>
        <w:rPr>
          <w:b/>
          <w:sz w:val="21"/>
        </w:rPr>
        <w:t>Condicionado a `BLQ-1`: la referencia del ESP32 que llegó a obra sigue SIN LEER.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 xml:space="preserve">demanda: el Maestro decide, aplica el todo-rojo y ordena. El detalle está en </w:t>
      </w:r>
      <w:r>
        <w:rPr>
          <w:rFonts w:ascii="Consolas" w:hAnsi="Consolas"/>
          <w:sz w:val="21"/>
        </w:rPr>
        <w:t>OPTIMIZACIONES.md</w:t>
      </w:r>
    </w:p>
    <w:p>
      <w:pPr>
        <w:spacing w:after="120"/>
      </w:pPr>
      <w:r>
        <w:rPr>
          <w:b w:val="0"/>
          <w:sz w:val="21"/>
        </w:rPr>
        <w:t>§ SFTY-27.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LA BOTONERA. NO ENCHUFE AQUI EL MODULO.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4.2 Telemetría Periódica ($STATUS) — Emitida cada 1 segundo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$STATUS,NODE:MAESTRO,SERIE:A3F19C,MODO:AUTO,ESTADO:V1_R2,T:24,RF:98%,RTT:82ms,BAT:12.6,HORA:18:25:00*42\r\n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Dirección segura, desde cualquier extremo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