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000000"/>
          <w:sz w:val="32"/>
          <w:szCs w:val="32"/>
        </w:rPr>
        <w:t xml:space="preserve">Especificación de compra — Cámaras IA de demanda vehicular</w:t>
      </w:r>
    </w:p>
    <w:p>
      <w:pPr>
        <w:spacing w:after="120" w:before="0"/>
      </w:pPr>
      <w:r>
        <w:rPr>
          <w:rFonts w:ascii="Arial" w:cs="Arial" w:eastAsia="Arial" w:hAnsi="Arial"/>
          <w:b w:val="false"/>
          <w:bCs w:val="false"/>
          <w:color w:val="000000"/>
          <w:sz w:val="22"/>
          <w:szCs w:val="22"/>
        </w:rPr>
        <w:t xml:space="preserve">Proyecto: Controladora de Semáforos Móviles de 3 Estados.</w:t>
      </w:r>
    </w:p>
    <w:p>
      <w:pPr>
        <w:spacing w:after="120" w:before="0"/>
      </w:pPr>
      <w:r>
        <w:rPr>
          <w:rFonts w:ascii="Arial" w:cs="Arial" w:eastAsia="Arial" w:hAnsi="Arial"/>
          <w:b w:val="false"/>
          <w:bCs w:val="false"/>
          <w:color w:val="000000"/>
          <w:sz w:val="22"/>
          <w:szCs w:val="22"/>
        </w:rPr>
        <w:t xml:space="preserve">Aplicación: detección de demanda vehicular con analítica embebida y salida de contacto seco a la tarjeta controladora.</w:t>
      </w:r>
    </w:p>
    <w:p>
      <w:pPr>
        <w:spacing w:after="120" w:before="0"/>
      </w:pPr>
      <w:r>
        <w:rPr>
          <w:rFonts w:ascii="Arial" w:cs="Arial" w:eastAsia="Arial" w:hAnsi="Arial"/>
          <w:b w:val="false"/>
          <w:bCs w:val="false"/>
          <w:color w:val="000000"/>
          <w:sz w:val="22"/>
          <w:szCs w:val="22"/>
        </w:rPr>
        <w:t xml:space="preserve">Cantidad requerida: 3 unidades.</w:t>
      </w:r>
    </w:p>
    <w:p>
      <w:pPr>
        <w:spacing w:after="200" w:before="0"/>
      </w:pPr>
      <w:r>
        <w:rPr>
          <w:rFonts w:ascii="Arial" w:cs="Arial" w:eastAsia="Arial" w:hAnsi="Arial"/>
          <w:b w:val="false"/>
          <w:bCs w:val="false"/>
          <w:color w:val="000000"/>
          <w:sz w:val="22"/>
          <w:szCs w:val="22"/>
        </w:rPr>
        <w:t xml:space="preserve">Fecha: 4 de septiembre de 2026.</w:t>
      </w:r>
    </w:p>
    <w:p>
      <w:pPr>
        <w:spacing w:after="140" w:before="300"/>
      </w:pPr>
      <w:r>
        <w:rPr>
          <w:rFonts w:ascii="Arial" w:cs="Arial" w:eastAsia="Arial" w:hAnsi="Arial"/>
          <w:b/>
          <w:bCs/>
          <w:color w:val="000000"/>
          <w:sz w:val="22"/>
          <w:szCs w:val="22"/>
        </w:rPr>
        <w:t xml:space="preserve">1. Requisitos obligatorios</w:t>
      </w:r>
    </w:p>
    <w:p>
      <w:pPr>
        <w:spacing w:after="120" w:before="0"/>
      </w:pPr>
      <w:r>
        <w:rPr>
          <w:rFonts w:ascii="Arial" w:cs="Arial" w:eastAsia="Arial" w:hAnsi="Arial"/>
          <w:b w:val="false"/>
          <w:bCs w:val="false"/>
          <w:color w:val="000000"/>
          <w:sz w:val="22"/>
          <w:szCs w:val="22"/>
        </w:rPr>
        <w:t xml:space="preserve">Los tres requisitos siguientes son excluyentes. Una cámara que incumpla cualquiera de ellos no sirve para esta aplicación, sin importar su resolución, marca o precio.</w:t>
      </w:r>
    </w:p>
    <w:p>
      <w:pPr>
        <w:spacing w:after="120" w:before="0"/>
      </w:pPr>
      <w:r>
        <w:rPr>
          <w:rFonts w:ascii="Arial" w:cs="Arial" w:eastAsia="Arial" w:hAnsi="Arial"/>
          <w:b w:val="false"/>
          <w:bCs w:val="false"/>
          <w:color w:val="000000"/>
          <w:sz w:val="22"/>
          <w:szCs w:val="22"/>
        </w:rPr>
        <w:t xml:space="preserve">1.1 Salida de alarma de contacto seco. La ficha técnica debe indicar textualmente "1 salida de alarma, máx. 24 VDC / 24 VAC, 1 A". El valor en corriente alterna es lo que acredita que se trata de un contacto libre de potencial. No se acepta ninguna salida especificada solo en corriente continua ni con corriente inferior a 1 A, por corresponder a una salida por transistor.</w:t>
      </w:r>
    </w:p>
    <w:p>
      <w:pPr>
        <w:spacing w:after="120" w:before="0"/>
      </w:pPr>
      <w:r>
        <w:rPr>
          <w:rFonts w:ascii="Arial" w:cs="Arial" w:eastAsia="Arial" w:hAnsi="Arial"/>
          <w:b w:val="false"/>
          <w:bCs w:val="false"/>
          <w:color w:val="000000"/>
          <w:sz w:val="22"/>
          <w:szCs w:val="22"/>
        </w:rPr>
        <w:t xml:space="preserve">1.2 Analítica embebida con clasificación de objetivo. La cámara debe ejecutar detección de intrusión con clasificación por aprendizaje profundo de vehículo frente a humano, dentro de la propia cámara. En el catálogo Hikvision esto corresponde a la tecnología AcuSense, presente a partir de la generación G2. No se acepta análisis de comportamiento por movimiento o geometría.</w:t>
      </w:r>
    </w:p>
    <w:p>
      <w:pPr>
        <w:spacing w:after="200" w:before="0"/>
      </w:pPr>
      <w:r>
        <w:rPr>
          <w:rFonts w:ascii="Arial" w:cs="Arial" w:eastAsia="Arial" w:hAnsi="Arial"/>
          <w:b w:val="false"/>
          <w:bCs w:val="false"/>
          <w:color w:val="000000"/>
          <w:sz w:val="22"/>
          <w:szCs w:val="22"/>
        </w:rPr>
        <w:t xml:space="preserve">1.3 Lente varifocal motorizado y alimentación a 12 VDC. El lente debe ser varifocal con ajuste motorizado, con extremo gran angular igual o superior a 100° horizontales. La cámara debe operar alimentada a 12 VDC directos, sin depender de inyector PoE.</w:t>
      </w:r>
    </w:p>
    <w:p>
      <w:pPr>
        <w:spacing w:after="140" w:before="300"/>
      </w:pPr>
      <w:r>
        <w:rPr>
          <w:rFonts w:ascii="Arial" w:cs="Arial" w:eastAsia="Arial" w:hAnsi="Arial"/>
          <w:b/>
          <w:bCs/>
          <w:color w:val="000000"/>
          <w:sz w:val="22"/>
          <w:szCs w:val="22"/>
        </w:rPr>
        <w:t xml:space="preserve">2. Referencias aprobadas</w:t>
      </w:r>
    </w:p>
    <w:p>
      <w:pPr>
        <w:spacing w:after="120" w:before="0"/>
      </w:pPr>
      <w:r>
        <w:rPr>
          <w:rFonts w:ascii="Arial" w:cs="Arial" w:eastAsia="Arial" w:hAnsi="Arial"/>
          <w:b w:val="false"/>
          <w:bCs w:val="false"/>
          <w:color w:val="000000"/>
          <w:sz w:val="22"/>
          <w:szCs w:val="22"/>
        </w:rPr>
        <w:t xml:space="preserve">Cualquiera de las siguientes referencias es aceptable de forma indistinta. Todas cumplen los tres requisitos de la sección 1, todas declaran salida de alarma de 24 VDC / 24 VAC y 1 A, y todas son IP67, IK10 y de rango de operación de -30 °C a 60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050"/>
        <w:gridCol w:w="1300"/>
        <w:gridCol w:w="2410"/>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Referencia</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Resolución</w:t>
            </w:r>
          </w:p>
        </w:tc>
        <w:tc>
          <w:tcPr>
            <w:tcW w:type="dxa" w:w="20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Lente y FOV horizontal</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Consumo 12 VDC</w:t>
            </w:r>
          </w:p>
        </w:tc>
        <w:tc>
          <w:tcPr>
            <w:tcW w:type="dxa" w:w="24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Observación</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DS-2CD3643G2-LIZSU</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4 MP</w:t>
            </w:r>
          </w:p>
        </w:tc>
        <w:tc>
          <w:tcPr>
            <w:tcW w:type="dxa" w:w="2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2,7 a 13,5 mm / 102,4° a 31,2°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14,5 W</w:t>
            </w:r>
          </w:p>
        </w:tc>
        <w:tc>
          <w:tcPr>
            <w:tcW w:type="dxa" w:w="2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Referencia certificada en el diseño. Luz híbrida IR + blanca.</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DS-2CD3643G2-IZS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4 MP</w:t>
            </w:r>
          </w:p>
        </w:tc>
        <w:tc>
          <w:tcPr>
            <w:tcW w:type="dxa" w:w="2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2,7 a 13,5 mm / 102° a 31°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13 W</w:t>
            </w:r>
          </w:p>
        </w:tc>
        <w:tc>
          <w:tcPr>
            <w:tcW w:type="dxa" w:w="2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Equivalente sin luz blanca. Solo IR.</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DS-2CD2683G2-LIZS2U</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8 MP</w:t>
            </w:r>
          </w:p>
        </w:tc>
        <w:tc>
          <w:tcPr>
            <w:tcW w:type="dxa" w:w="2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2,8 a 12 mm / 106,5° a 30,2°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13 W</w:t>
            </w:r>
          </w:p>
        </w:tc>
        <w:tc>
          <w:tcPr>
            <w:tcW w:type="dxa" w:w="2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Mayor ángulo y mayor distancia de reconocimiento.</w:t>
            </w:r>
          </w:p>
        </w:tc>
      </w:tr>
      <w:t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DS-2CD3623G2-IZS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2 MP</w:t>
            </w:r>
          </w:p>
        </w:tc>
        <w:tc>
          <w:tcPr>
            <w:tcW w:type="dxa" w:w="2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2,7 a 13,5 mm / 107° a 32°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13 W</w:t>
            </w:r>
          </w:p>
        </w:tc>
        <w:tc>
          <w:tcPr>
            <w:tcW w:type="dxa" w:w="2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Opción de menor costo. Cumple los tres requisitos.</w:t>
            </w:r>
          </w:p>
        </w:tc>
      </w:tr>
    </w:tbl>
    <w:p>
      <w:pPr>
        <w:spacing w:after="200" w:before="0"/>
      </w:pPr>
      <w:r>
        <w:rPr>
          <w:rFonts w:ascii="Arial" w:cs="Arial" w:eastAsia="Arial" w:hAnsi="Arial"/>
          <w:b w:val="false"/>
          <w:bCs w:val="false"/>
          <w:color w:val="000000"/>
          <w:sz w:val="22"/>
          <w:szCs w:val="22"/>
        </w:rPr>
        <w:t xml:space="preserve"/>
      </w:r>
    </w:p>
    <w:p>
      <w:pPr>
        <w:spacing w:after="140" w:before="300"/>
      </w:pPr>
      <w:r>
        <w:rPr>
          <w:rFonts w:ascii="Arial" w:cs="Arial" w:eastAsia="Arial" w:hAnsi="Arial"/>
          <w:b/>
          <w:bCs/>
          <w:color w:val="000000"/>
          <w:sz w:val="22"/>
          <w:szCs w:val="22"/>
        </w:rPr>
        <w:t xml:space="preserve">3. Referencias no aceptadas</w:t>
      </w:r>
    </w:p>
    <w:p>
      <w:pPr>
        <w:spacing w:after="120" w:before="0"/>
      </w:pPr>
      <w:r>
        <w:rPr>
          <w:rFonts w:ascii="Arial" w:cs="Arial" w:eastAsia="Arial" w:hAnsi="Arial"/>
          <w:b w:val="false"/>
          <w:bCs w:val="false"/>
          <w:color w:val="000000"/>
          <w:sz w:val="22"/>
          <w:szCs w:val="22"/>
        </w:rPr>
        <w:t xml:space="preserve">Las siguientes referencias fueron evaluadas y descartadas. Se listan para evitar que se ofrezcan como equivalentes.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Referencia ofrecida</w:t>
            </w:r>
          </w:p>
        </w:tc>
        <w:tc>
          <w:tcPr>
            <w:tcW w:type="dxa" w:w="6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Motivo técnico del rechazo</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DS-2CD2643G2-IZS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Salida de alarma de 12 VDC / 30 mA. Es una salida por transistor, no un contacto seco. No puede cerrar la entrada contra los 3,3 V del equipo.</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DS-2CD3623G1-IZ(S)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Generación G1. No incorpora AcuSense ni clasificación por aprendizaje profundo de vehículo frente a humano. Cualquier peatón dispararía la señal.</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Cualquier referencia con sufijo -IZ sin la 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La S es la que incorpora la interfaz de alarma. Sin ella la cámara no tiene salida de contacto y no cumple ninguna función en este sistema.</w:t>
            </w:r>
          </w:p>
        </w:tc>
      </w:tr>
      <w:t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Dahua IPC-HFW2441T-ZAS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Salida de alarma de 300 mA / 12 VDC, solo corriente continua. No es contacto seco libre de potencial.</w:t>
            </w:r>
          </w:p>
        </w:tc>
      </w:tr>
    </w:tbl>
    <w:p>
      <w:pPr>
        <w:spacing w:after="200" w:before="0"/>
      </w:pPr>
      <w:r>
        <w:rPr>
          <w:rFonts w:ascii="Arial" w:cs="Arial" w:eastAsia="Arial" w:hAnsi="Arial"/>
          <w:b w:val="false"/>
          <w:bCs w:val="false"/>
          <w:color w:val="000000"/>
          <w:sz w:val="22"/>
          <w:szCs w:val="22"/>
        </w:rPr>
        <w:t xml:space="preserve"/>
      </w:r>
    </w:p>
    <w:p>
      <w:pPr>
        <w:spacing w:after="140" w:before="300"/>
      </w:pPr>
      <w:r>
        <w:rPr>
          <w:rFonts w:ascii="Arial" w:cs="Arial" w:eastAsia="Arial" w:hAnsi="Arial"/>
          <w:b/>
          <w:bCs/>
          <w:color w:val="000000"/>
          <w:sz w:val="22"/>
          <w:szCs w:val="22"/>
        </w:rPr>
        <w:t xml:space="preserve">4. Accesorios requeridos</w:t>
      </w:r>
    </w:p>
    <w:p>
      <w:pPr>
        <w:spacing w:after="120" w:before="0"/>
      </w:pPr>
      <w:r>
        <w:rPr>
          <w:rFonts w:ascii="Arial" w:cs="Arial" w:eastAsia="Arial" w:hAnsi="Arial"/>
          <w:b w:val="false"/>
          <w:bCs w:val="false"/>
          <w:color w:val="000000"/>
          <w:sz w:val="22"/>
          <w:szCs w:val="22"/>
        </w:rPr>
        <w:t xml:space="preserve">El cuerpo de estas cámaras pesa entre 1.390 y 1.531 gramos y mide aproximadamente 333 mm de longitud. El herraje no viene incluido y debe cotizarse por separado.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900"/>
        <w:gridCol w:w="34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Ítem</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Referencia</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Cant.</w:t>
            </w:r>
          </w:p>
        </w:tc>
        <w:tc>
          <w:tcPr>
            <w:tcW w:type="dxa" w:w="3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Arial" w:cs="Arial" w:eastAsia="Arial" w:hAnsi="Arial"/>
                <w:b/>
                <w:bCs/>
                <w:color w:val="000000"/>
                <w:sz w:val="22"/>
                <w:szCs w:val="22"/>
              </w:rPr>
              <w:t xml:space="preserve">Observación</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Herraje de poste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DS-1275ZJ-SUS</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3</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Montaje en poste vertical. No viene incluido con la cámara.</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Caja de conexión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DS-1260ZJ</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3</w:t>
            </w:r>
          </w:p>
        </w:tc>
        <w:tc>
          <w:tcPr>
            <w:tcW w:type="dxa" w:w="3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b w:val="false"/>
                <w:bCs w:val="false"/>
                <w:color w:val="000000"/>
                <w:sz w:val="22"/>
                <w:szCs w:val="22"/>
              </w:rPr>
              <w:t xml:space="preserve">Alternativa o complemento al herraje, según el punto de montaje.</w:t>
            </w:r>
          </w:p>
        </w:tc>
      </w:tr>
    </w:tbl>
    <w:p>
      <w:pPr>
        <w:spacing w:after="200" w:before="0"/>
      </w:pPr>
      <w:r>
        <w:rPr>
          <w:rFonts w:ascii="Arial" w:cs="Arial" w:eastAsia="Arial" w:hAnsi="Arial"/>
          <w:b w:val="false"/>
          <w:bCs w:val="false"/>
          <w:color w:val="000000"/>
          <w:sz w:val="22"/>
          <w:szCs w:val="22"/>
        </w:rPr>
        <w:t xml:space="preserve"/>
      </w:r>
    </w:p>
    <w:p>
      <w:pPr>
        <w:spacing w:after="140" w:before="300"/>
      </w:pPr>
      <w:r>
        <w:rPr>
          <w:rFonts w:ascii="Arial" w:cs="Arial" w:eastAsia="Arial" w:hAnsi="Arial"/>
          <w:b/>
          <w:bCs/>
          <w:color w:val="000000"/>
          <w:sz w:val="22"/>
          <w:szCs w:val="22"/>
        </w:rPr>
        <w:t xml:space="preserve">5. Condiciones de la cotización</w:t>
      </w:r>
    </w:p>
    <w:p>
      <w:pPr>
        <w:spacing w:after="120" w:before="0"/>
      </w:pPr>
      <w:r>
        <w:rPr>
          <w:rFonts w:ascii="Arial" w:cs="Arial" w:eastAsia="Arial" w:hAnsi="Arial"/>
          <w:b w:val="false"/>
          <w:bCs w:val="false"/>
          <w:color w:val="000000"/>
          <w:sz w:val="22"/>
          <w:szCs w:val="22"/>
        </w:rPr>
        <w:t xml:space="preserve">5.1 La cotización debe indicar la referencia completa, incluido el rango del lente entre paréntesis. Ejemplo: DS-2CD2683G2-LIZS2U (2.8-12mm).</w:t>
      </w:r>
    </w:p>
    <w:p>
      <w:pPr>
        <w:spacing w:after="120" w:before="0"/>
      </w:pPr>
      <w:r>
        <w:rPr>
          <w:rFonts w:ascii="Arial" w:cs="Arial" w:eastAsia="Arial" w:hAnsi="Arial"/>
          <w:b w:val="false"/>
          <w:bCs w:val="false"/>
          <w:color w:val="000000"/>
          <w:sz w:val="22"/>
          <w:szCs w:val="22"/>
        </w:rPr>
        <w:t xml:space="preserve">5.2 La cotización debe adjuntar la ficha técnica del fabricante de la referencia ofrecida, en la que se pueda verificar la fila de alarma y la función de aprendizaje profundo.</w:t>
      </w:r>
    </w:p>
    <w:p>
      <w:pPr>
        <w:spacing w:after="120" w:before="0"/>
      </w:pPr>
      <w:r>
        <w:rPr>
          <w:rFonts w:ascii="Arial" w:cs="Arial" w:eastAsia="Arial" w:hAnsi="Arial"/>
          <w:b w:val="false"/>
          <w:bCs w:val="false"/>
          <w:color w:val="000000"/>
          <w:sz w:val="22"/>
          <w:szCs w:val="22"/>
        </w:rPr>
        <w:t xml:space="preserve">5.3 No se aceptarán equivalencias distintas a las listadas en la sección 2 sin verificación previa contra los tres requisitos de la sección 1.</w:t>
      </w:r>
    </w:p>
    <w:p>
      <w:pPr>
        <w:spacing w:after="120" w:before="0"/>
      </w:pPr>
      <w:r>
        <w:rPr>
          <w:rFonts w:ascii="Arial" w:cs="Arial" w:eastAsia="Arial" w:hAnsi="Arial"/>
          <w:b w:val="false"/>
          <w:bCs w:val="false"/>
          <w:color w:val="000000"/>
          <w:sz w:val="22"/>
          <w:szCs w:val="22"/>
        </w:rPr>
        <w:t xml:space="preserve">5.4 Indicar disponibilidad en Bogotá y tiempo de entrega por referencia.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2026-09-04T21:23:40.161Z</dcterms:created>
  <dcterms:modified xsi:type="dcterms:W3CDTF">2026-09-04T21:23:40.161Z</dcterms:modified>
</cp:coreProperties>
</file>

<file path=docProps/custom.xml><?xml version="1.0" encoding="utf-8"?>
<Properties xmlns="http://schemas.openxmlformats.org/officeDocument/2006/custom-properties" xmlns:vt="http://schemas.openxmlformats.org/officeDocument/2006/docPropsVTypes"/>
</file>