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cronograma-y-recursos"/>
    <w:p>
      <w:pPr>
        <w:pStyle w:val="Heading1"/>
      </w:pPr>
      <w:r>
        <w:t xml:space="preserve">GESTIÓN EJECUTIVA: CRONOGRAMA Y RECURSOS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14"/>
    <w:bookmarkStart w:id="15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15"/>
    <w:bookmarkStart w:id="16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16"/>
    <w:bookmarkStart w:id="17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17"/>
    <w:bookmarkStart w:id="18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gestión"/>
    <w:p>
      <w:pPr>
        <w:pStyle w:val="Heading2"/>
      </w:pPr>
      <w:r>
        <w:t xml:space="preserve">🎯 FUNCIÓN Y PROPÓSITO DE LA GESTIÓN</w:t>
      </w:r>
    </w:p>
    <w:bookmarkStart w:id="20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21"/>
    <w:bookmarkStart w:id="22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24"/>
    <w:bookmarkStart w:id="25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25"/>
    <w:bookmarkStart w:id="26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35"/>
    <w:bookmarkStart w:id="36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aspectos"/>
    <w:p>
      <w:pPr>
        <w:pStyle w:val="Heading2"/>
      </w:pPr>
      <w:r>
        <w:t xml:space="preserve">🔗 INTERFACES CON OTROS ASPECTOS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2026-02-06T19:44:54Z</dcterms:created>
  <dcterms:modified xsi:type="dcterms:W3CDTF">2026-02-06T19:44:54Z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