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sistema-01-control-y-señalización"/>
    <w:p>
      <w:pPr>
        <w:pStyle w:val="Heading1"/>
      </w:pPr>
      <w:r>
        <w:t xml:space="preserve">SISTEMA 01: CONTROL Y SEÑALIZACIÓN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ITCS ETCS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CTC-ITCS-FENOCO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(sistema crítico 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14"/>
    <w:bookmarkStart w:id="15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ETCS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15"/>
    <w:bookmarkStart w:id="16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16"/>
    <w:bookmarkStart w:id="17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17"/>
    <w:bookmarkStart w:id="18" w:name="Xb28b9411d1804d666769313d48cbd120b86b4a7"/>
    <w:p>
      <w:pPr>
        <w:pStyle w:val="Heading3"/>
      </w:pPr>
      <w:r>
        <w:t xml:space="preserve">¿Por qué ETCS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ETCS: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Balizas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TETRA + ATP embarcado | Óptimo costo/beneficio | Requiere TETRA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18"/>
    <w:bookmarkStart w:id="19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37"/>
    <w:bookmarkStart w:id="38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41"/>
    <w:bookmarkStart w:id="42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(CTC↔ITCS↔FENOCO)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ITCS/ETCS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ETCS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TETRA/TETRA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ITCS ETCS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ITCS ETCS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decisiones-técnicas-aplicadas"/>
    <w:p>
      <w:pPr>
        <w:pStyle w:val="Heading2"/>
      </w:pPr>
      <w:r>
        <w:t xml:space="preserve">📋 DECISIONES TÉCNICAS APLICADAS</w:t>
      </w:r>
    </w:p>
    <w:bookmarkStart w:id="57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57"/>
    <w:bookmarkStart w:id="58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58"/>
    <w:bookmarkStart w:id="59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CTC-ITCS-FENOCO)</w:t>
      </w:r>
    </w:p>
    <w:bookmarkEnd w:id="59"/>
    <w:bookmarkStart w:id="60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6d545262ef254bb35321ac5cd9148c75fe8e6d"/>
    <w:p>
      <w:pPr>
        <w:pStyle w:val="Heading2"/>
      </w:pPr>
      <w:r>
        <w:t xml:space="preserve">📋 ANEXO: Layout de Equipos de Control y Señalización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2026-02-06T19:44:54Z</dcterms:created>
  <dcterms:modified xsi:type="dcterms:W3CDTF">2026-02-06T19:44:54Z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