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sistema-02-telecomunicaciones"/>
    <w:p>
      <w:pPr>
        <w:pStyle w:val="Heading1"/>
      </w:pPr>
      <w:r>
        <w:t xml:space="preserve">SISTEMA 02: TELECOMUNICACIONES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/>
          <w:bCs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“sistema nervioso”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TETRA/TETRA:</w:t>
      </w:r>
      <w:r>
        <w:t xml:space="preserve"> </w:t>
      </w:r>
      <w:r>
        <w:t xml:space="preserve">Justificado por radio de cobertura de 15 km por estación con 20% solapamiento sobre corredor de 594 km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594 km fibra óptica: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garantizada por diseño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TETRA, 99.5% TETRA (según estándares EN 50126)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37-estaciones-tetratetra"/>
    <w:p>
      <w:pPr>
        <w:pStyle w:val="Heading3"/>
      </w:pPr>
      <w:r>
        <w:t xml:space="preserve">¿Por qué 37 estaciones TETRA/TETRA?</w:t>
      </w:r>
    </w:p>
    <w:p>
      <w:pPr>
        <w:pStyle w:val="FirstParagraph"/>
      </w:pPr>
      <w:r>
        <w:rPr>
          <w:b/>
          <w:bCs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 por estación:</w:t>
      </w:r>
      <w:r>
        <w:t xml:space="preserve"> </w:t>
      </w:r>
      <w:r>
        <w:t xml:space="preserve">15 km (según especificaciones TETRA/TETRA)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total:</w:t>
      </w:r>
      <w:r>
        <w:t xml:space="preserve"> </w:t>
      </w:r>
      <w:r>
        <w:t xml:space="preserve">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km/estación = 49.5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/>
          <w:bCs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TETRA + TETRA en la misma torre</w:t>
      </w:r>
    </w:p>
    <w:bookmarkEnd w:id="14"/>
    <w:bookmarkStart w:id="15" w:name="por-qué-594-km-de-fibra-óptica"/>
    <w:p>
      <w:pPr>
        <w:pStyle w:val="Heading3"/>
      </w:pPr>
      <w:r>
        <w:t xml:space="preserve">¿Por qué 594 km de fibra óptica?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Redondeo técnico:</w:t>
      </w:r>
      <w:r>
        <w:t xml:space="preserve"> </w:t>
      </w:r>
      <w:r>
        <w:t xml:space="preserve">594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/>
          <w:bCs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“doble anillo”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15"/>
    <w:bookmarkStart w:id="16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/>
          <w:bCs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/>
          <w:bCs/>
        </w:rPr>
        <w:t xml:space="preserve">2,068 cajas</w:t>
      </w:r>
    </w:p>
    <w:bookmarkEnd w:id="16"/>
    <w:bookmarkStart w:id="17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/>
          <w:bCs/>
        </w:rPr>
        <w:t xml:space="preserve">Criterios de Diseño: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17"/>
    <w:bookmarkStart w:id="18" w:name="por-qué-tetra-tetra-no-solo-uno"/>
    <w:p>
      <w:pPr>
        <w:pStyle w:val="Heading3"/>
      </w:pPr>
      <w:r>
        <w:t xml:space="preserve">¿Por qué TETRA + TETRA (no solo uno)?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TETRA:</w:t>
      </w:r>
      <w:r>
        <w:t xml:space="preserve"> </w:t>
      </w:r>
      <w:r>
        <w:t xml:space="preserve">Especializado en datos críticos (ATP,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Si falla uno, el otro mantiene operación básica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l-sistema"/>
    <w:p>
      <w:pPr>
        <w:pStyle w:val="Heading2"/>
      </w:pPr>
      <w:r>
        <w:t xml:space="preserve">🎯 FUNCIÓN Y PROPÓSITO DEL SISTEMA</w:t>
      </w:r>
    </w:p>
    <w:bookmarkStart w:id="20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/>
          <w:bCs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externas</w:t>
      </w:r>
      <w:r>
        <w:t xml:space="preserve"> </w:t>
      </w:r>
      <w:r>
        <w:t xml:space="preserve">(ANE, FENOCO)</w:t>
      </w:r>
    </w:p>
    <w:bookmarkEnd w:id="20"/>
    <w:bookmarkStart w:id="21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21"/>
    <w:bookmarkStart w:id="22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omponentes-principales"/>
    <w:p>
      <w:pPr>
        <w:pStyle w:val="Heading2"/>
      </w:pPr>
      <w:r>
        <w:t xml:space="preserve">🏗️ COMPONENTES PRINCIPALES</w:t>
      </w:r>
    </w:p>
    <w:bookmarkStart w:id="25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Start w:id="24" w:name="Xea3129e6abd2f84dcad12c321f2ed5ff0b1a5fe"/>
    <w:p>
      <w:pPr>
        <w:pStyle w:val="Heading4"/>
      </w:pPr>
      <w:r>
        <w:rPr>
          <w:b/>
          <w:bCs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/>
          <w:bCs/>
        </w:rPr>
        <w:t xml:space="preserve">Justificación de cantidad (30 unidades) según Metodología Punto 42: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048"/>
        <w:gridCol w:w="2731"/>
        <w:gridCol w:w="9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/>
          <w:bCs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/>
          <w:bCs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sistema-tetra---red-de-datos-críticos"/>
    <w:p>
      <w:pPr>
        <w:pStyle w:val="Heading3"/>
      </w:pPr>
      <w:r>
        <w:t xml:space="preserve">2. Sistema TETRA - Red de Datos Críticos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6"/>
    <w:bookmarkStart w:id="27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594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DWDM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specificaciones-técnicas-clave"/>
    <w:p>
      <w:pPr>
        <w:pStyle w:val="Heading2"/>
      </w:pPr>
      <w:r>
        <w:t xml:space="preserve">📐 ESPECIFICACIONES TÉCNICAS CLAVE</w:t>
      </w:r>
    </w:p>
    <w:bookmarkStart w:id="2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29"/>
    <w:bookmarkStart w:id="3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Cobertura 100% del corredor</w:t>
      </w:r>
    </w:p>
    <w:p>
      <w:pPr>
        <w:pStyle w:val="Compact"/>
        <w:numPr>
          <w:ilvl w:val="0"/>
          <w:numId w:val="1003"/>
        </w:numPr>
      </w:pPr>
      <w:r>
        <w:t xml:space="preserve">✅ Disponibilidad 99.5% para TETRA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ANE</w:t>
      </w:r>
    </w:p>
    <w:p>
      <w:pPr>
        <w:pStyle w:val="Compact"/>
        <w:numPr>
          <w:ilvl w:val="0"/>
          <w:numId w:val="1003"/>
        </w:numPr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ubicación-y-despliegue"/>
    <w:p>
      <w:pPr>
        <w:pStyle w:val="Heading2"/>
      </w:pPr>
      <w:r>
        <w:t xml:space="preserve">📍 UBICACIÓN Y DESPLIEGUE</w:t>
      </w:r>
    </w:p>
    <w:bookmarkStart w:id="3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32"/>
    <w:bookmarkStart w:id="33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33"/>
    <w:bookmarkStart w:id="34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UPS 2 horas</w:t>
            </w:r>
          </w:p>
        </w:tc>
      </w:tr>
    </w:tbl>
    <w:bookmarkEnd w:id="34"/>
    <w:bookmarkStart w:id="35" w:name="alimentación-eléctrica-total"/>
    <w:p>
      <w:pPr>
        <w:pStyle w:val="Heading3"/>
      </w:pPr>
      <w:r>
        <w:t xml:space="preserve">Alimentación Eléctrica Total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/>
          <w:bCs/>
        </w:rPr>
        <w:t xml:space="preserve">296 kW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señal y disponibilidad.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equipos y calidad de señal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supuestos-técnicos-y-limitaciones"/>
    <w:p>
      <w:pPr>
        <w:pStyle w:val="Heading2"/>
      </w:pPr>
      <w:r>
        <w:t xml:space="preserve">📋 SUPUESTOS TÉCNICOS Y LIMITACIONES</w:t>
      </w:r>
    </w:p>
    <w:bookmarkStart w:id="44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44"/>
    <w:bookmarkStart w:id="45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Cobertura puede reducirse en zonas montañosas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Vandalismo:</w:t>
      </w:r>
      <w:r>
        <w:t xml:space="preserve"> </w:t>
      </w:r>
      <w:r>
        <w:t xml:space="preserve">Torres remotas susceptibles a daños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45"/>
    <w:bookmarkStart w:id="46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Suministro de equipos TETRA/TETRA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1" w:name="cumplimiento-contractual"/>
    <w:p>
      <w:pPr>
        <w:pStyle w:val="Heading2"/>
      </w:pPr>
      <w:r>
        <w:t xml:space="preserve">📋 CUMPLIMIENTO CONTRACTUAL</w:t>
      </w:r>
    </w:p>
    <w:bookmarkStart w:id="49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TETRA + TETRA + Fibra según estándares - Cumplida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49"/>
    <w:bookmarkStart w:id="50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TETRA, TETRA, Fibra óptica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documentación-de-soporte"/>
    <w:p>
      <w:pPr>
        <w:pStyle w:val="Heading2"/>
      </w:pPr>
      <w:r>
        <w:t xml:space="preserve">📚 DOCUMENTACIÓN DE SOPORTE</w:t>
      </w:r>
    </w:p>
    <w:bookmarkStart w:id="52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2"/>
    <w:bookmarkStart w:id="53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Xdc17a55805dfe824f8cf94ad8b237d9fcdf31e9"/>
    <w:p>
      <w:pPr>
        <w:pStyle w:val="Heading2"/>
      </w:pPr>
      <w:r>
        <w:t xml:space="preserve">📋 ANEXO: Layout de Equipos de Telecomunicaciones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2026-02-06T19:44:54Z</dcterms:created>
  <dcterms:modified xsi:type="dcterms:W3CDTF">2026-02-06T19:44:54Z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