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sistema-04-material-rodante"/>
    <w:p>
      <w:pPr>
        <w:pStyle w:val="Heading1"/>
      </w:pPr>
      <w:r>
        <w:t xml:space="preserve">SISTEMA 04: MATERIAL RODANTE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/>
          <w:bCs/>
        </w:rPr>
        <w:t xml:space="preserve">“flota de vehículos”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Sistemas embarcados:</w:t>
      </w:r>
      <w:r>
        <w:t xml:space="preserve"> </w:t>
      </w:r>
      <w:r>
        <w:t xml:space="preserve">ITCS ETCS Level 2, TETRA + TETRA, GPS/GNSS, CCTV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(sistema crítico según AT4)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2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/>
          <w:bCs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Capacidad de transporte requerida para 594 km de corredor</w:t>
      </w:r>
    </w:p>
    <w:bookmarkEnd w:id="14"/>
    <w:bookmarkStart w:id="15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/>
          <w:bCs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15"/>
    <w:bookmarkStart w:id="16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requerida:</w:t>
      </w:r>
      <w:r>
        <w:t xml:space="preserve"> </w:t>
      </w:r>
      <w:r>
        <w:t xml:space="preserve">8 equipos para cobertura de 594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16"/>
    <w:bookmarkStart w:id="17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/>
          <w:bCs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17"/>
    <w:bookmarkStart w:id="18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/>
          <w:bCs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geográfica para 594 km de corredor</w:t>
      </w:r>
    </w:p>
    <w:bookmarkEnd w:id="18"/>
    <w:bookmarkStart w:id="19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/>
          <w:bCs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ITCS ETCS Level 2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 +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Event Recorder</w:t>
      </w:r>
      <w:r>
        <w:t xml:space="preserve"> </w:t>
      </w:r>
      <w:r>
        <w:t xml:space="preserve">| Caja negra para eventos | 15 | Locomotoras |</w:t>
      </w:r>
    </w:p>
    <w:bookmarkEnd w:id="19"/>
    <w:bookmarkStart w:id="20" w:name="por-qué-disponibilidad-99.5"/>
    <w:p>
      <w:pPr>
        <w:pStyle w:val="Heading3"/>
      </w:pPr>
      <w:r>
        <w:t xml:space="preserve">¿Por qué disponibilidad 99.5%?</w:t>
      </w:r>
    </w:p>
    <w:p>
      <w:pPr>
        <w:pStyle w:val="FirstParagraph"/>
      </w:pPr>
      <w:r>
        <w:rPr>
          <w:b/>
          <w:bCs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AT4 Tablas 1-4:</w:t>
      </w:r>
      <w:r>
        <w:t xml:space="preserve"> </w:t>
      </w:r>
      <w:r>
        <w:t xml:space="preserve">Disponibilidad material rodante 99.5%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función-y-propósito-del-sistema"/>
    <w:p>
      <w:pPr>
        <w:pStyle w:val="Heading2"/>
      </w:pPr>
      <w:r>
        <w:t xml:space="preserve">🎯 FUNCIÓN Y PROPÓSITO DEL SISTEMA</w:t>
      </w:r>
    </w:p>
    <w:bookmarkStart w:id="2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/>
          <w:bCs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22"/>
    <w:bookmarkStart w:id="2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23"/>
    <w:bookmarkStart w:id="2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Señalización]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componentes-principales"/>
    <w:p>
      <w:pPr>
        <w:pStyle w:val="Heading2"/>
      </w:pPr>
      <w:r>
        <w:t xml:space="preserve">🏗️ COMPONENTES PRINCIPALES</w:t>
      </w:r>
    </w:p>
    <w:bookmarkStart w:id="26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ETCS Level 2 | ⏳ En adquisición |</w:t>
      </w:r>
      <w:r>
        <w:t xml:space="preserve"> </w:t>
      </w:r>
      <w:r>
        <w:t xml:space="preserve">| Sistemas ATP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6"/>
    <w:bookmarkStart w:id="27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7"/>
    <w:bookmarkStart w:id="28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8"/>
    <w:bookmarkStart w:id="29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especificaciones-técnicas-clave"/>
    <w:p>
      <w:pPr>
        <w:pStyle w:val="Heading2"/>
      </w:pPr>
      <w:r>
        <w:t xml:space="preserve">📐 ESPECIFICACIONES TÉCNICAS CLAVE</w:t>
      </w:r>
    </w:p>
    <w:bookmarkStart w:id="3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</w:tbl>
    <w:bookmarkEnd w:id="31"/>
    <w:bookmarkStart w:id="3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locomotoras con ATP embarcado ETCS Level 2</w:t>
      </w:r>
    </w:p>
    <w:p>
      <w:pPr>
        <w:pStyle w:val="Compact"/>
        <w:numPr>
          <w:ilvl w:val="0"/>
          <w:numId w:val="1003"/>
        </w:numPr>
      </w:pPr>
      <w:r>
        <w:t xml:space="preserve">✅ 51 vagones con capacidad total de 2,550 toneladas</w:t>
      </w:r>
    </w:p>
    <w:p>
      <w:pPr>
        <w:pStyle w:val="Compact"/>
        <w:numPr>
          <w:ilvl w:val="0"/>
          <w:numId w:val="1003"/>
        </w:numPr>
      </w:pPr>
      <w:r>
        <w:t xml:space="preserve">✅ 15 dispositivos EOT para monitoreo de trenes</w:t>
      </w:r>
    </w:p>
    <w:p>
      <w:pPr>
        <w:pStyle w:val="Compact"/>
        <w:numPr>
          <w:ilvl w:val="0"/>
          <w:numId w:val="1003"/>
        </w:numPr>
      </w:pPr>
      <w:r>
        <w:t xml:space="preserve">✅ 3 talleres operativos para mantenimiento</w:t>
      </w:r>
    </w:p>
    <w:p>
      <w:pPr>
        <w:pStyle w:val="Compact"/>
        <w:numPr>
          <w:ilvl w:val="0"/>
          <w:numId w:val="1003"/>
        </w:numPr>
      </w:pPr>
      <w:r>
        <w:t xml:space="preserve">✅ Disponibilidad 99.5% de la flota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ubicación-y-despliegue"/>
    <w:p>
      <w:pPr>
        <w:pStyle w:val="Heading2"/>
      </w:pPr>
      <w:r>
        <w:t xml:space="preserve">📍 UBICACIÓN Y DESPLIEGUE</w:t>
      </w:r>
    </w:p>
    <w:bookmarkStart w:id="3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594 km, con talleres ubicados estratégicamente en La Dorada (principal), Chiriguaná (secundario) y estaciones intermedias.</w:t>
      </w:r>
    </w:p>
    <w:bookmarkEnd w:id="34"/>
    <w:bookmarkStart w:id="3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operación-y-mantenimiento"/>
    <w:p>
      <w:pPr>
        <w:pStyle w:val="Heading2"/>
      </w:pPr>
      <w:r>
        <w:t xml:space="preserve">⚙️ OPERACIÓN Y MANTENIMIENTO</w:t>
      </w:r>
    </w:p>
    <w:bookmarkStart w:id="3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37"/>
    <w:bookmarkStart w:id="3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38"/>
    <w:bookmarkStart w:id="39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interfaces-con-otros-sistemas"/>
    <w:p>
      <w:pPr>
        <w:pStyle w:val="Heading2"/>
      </w:pPr>
      <w:r>
        <w:t xml:space="preserve">🔗 INTERFACES CON OTROS SISTEMAS</w:t>
      </w:r>
    </w:p>
    <w:bookmarkStart w:id="4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Señalización]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41"/>
    <w:bookmarkStart w:id="4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cumplimiento-contractual"/>
    <w:p>
      <w:pPr>
        <w:pStyle w:val="Heading2"/>
      </w:pPr>
      <w:r>
        <w:t xml:space="preserve">📋 CUMPLIMIENTO CONTRACTUAL</w:t>
      </w:r>
    </w:p>
    <w:bookmarkStart w:id="4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Material Rodante:</w:t>
      </w:r>
      <w:r>
        <w:t xml:space="preserve"> </w:t>
      </w:r>
      <w:r>
        <w:t xml:space="preserve">15 locomotoras con ATP embarcado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con disponibilidad 99.5%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45"/>
    <w:bookmarkStart w:id="4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99.5%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ocumentación-de-soporte"/>
    <w:p>
      <w:pPr>
        <w:pStyle w:val="Heading2"/>
      </w:pPr>
      <w:r>
        <w:t xml:space="preserve">📚 DOCUMENTACIÓN DE SOPORTE</w:t>
      </w:r>
    </w:p>
    <w:bookmarkStart w:id="4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48"/>
    <w:bookmarkStart w:id="4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decisiones-tecnicas-aplicadas"/>
    <w:p>
      <w:pPr>
        <w:pStyle w:val="Heading2"/>
      </w:pPr>
      <w:r>
        <w:t xml:space="preserve">📋 DECISIONES TECNICAS APLICADAS</w:t>
      </w:r>
    </w:p>
    <w:bookmarkStart w:id="53" w:name="dt-mr-dt-eot"/>
    <w:p>
      <w:pPr>
        <w:pStyle w:val="Heading3"/>
      </w:pPr>
      <w:r>
        <w:t xml:space="preserve">DT-MR, DT-EOT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04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2026-02-06T19:44:55Z</dcterms:created>
  <dcterms:modified xsi:type="dcterms:W3CDTF">2026-02-06T19:44:55Z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