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sistema-05-infraestructura-operativa"/>
    <w:p>
      <w:pPr>
        <w:pStyle w:val="Heading1"/>
      </w:pPr>
      <w:r>
        <w:t xml:space="preserve">SISTEMA 05: INFRAESTRUCTURA OPERATIVA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telecomunicaciones:</w:t>
      </w:r>
      <w:r>
        <w:t xml:space="preserve"> </w:t>
      </w:r>
      <w:r>
        <w:t xml:space="preserve">Torres TETRA/TETRA colocalizadas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CCO, 99.5% estaciones (según AT4)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/>
          <w:bCs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14"/>
    <w:bookmarkStart w:id="15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/>
          <w:bCs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15"/>
    <w:bookmarkStart w:id="16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/>
          <w:bCs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16"/>
    <w:bookmarkStart w:id="1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Colocalización:</w:t>
      </w:r>
      <w:r>
        <w:t xml:space="preserve"> </w:t>
      </w:r>
      <w:r>
        <w:t xml:space="preserve">Torres TETRA/TETRA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594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17"/>
    <w:bookmarkStart w:id="18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Sistemas automáticos de barreras y señales</w:t>
      </w:r>
    </w:p>
    <w:bookmarkEnd w:id="18"/>
    <w:bookmarkStart w:id="19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/>
          <w:bCs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19"/>
    <w:bookmarkStart w:id="20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/>
          <w:bCs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unción-y-propósito-del-sistema"/>
    <w:p>
      <w:pPr>
        <w:pStyle w:val="Heading2"/>
      </w:pPr>
      <w:r>
        <w:t xml:space="preserve">🎯 FUNCIÓN Y PROPÓSITO DEL SISTEMA</w:t>
      </w:r>
    </w:p>
    <w:bookmarkStart w:id="2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/>
          <w:bCs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22"/>
    <w:bookmarkStart w:id="2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23"/>
    <w:bookmarkStart w:id="2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componentes-principales"/>
    <w:p>
      <w:pPr>
        <w:pStyle w:val="Heading2"/>
      </w:pPr>
      <w:r>
        <w:t xml:space="preserve">🏗️ COMPONENTES PRINCIPALES</w:t>
      </w:r>
    </w:p>
    <w:bookmarkStart w:id="26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7"/>
    <w:bookmarkStart w:id="28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25 kV, 50 MVA | ⏳ En construcción |</w:t>
      </w:r>
      <w:r>
        <w:t xml:space="preserve"> </w:t>
      </w:r>
      <w:r>
        <w:t xml:space="preserve">| Transformadores | 16 unidades | 25 kV/0.4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8"/>
    <w:bookmarkStart w:id="29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specificaciones-técnicas-clave"/>
    <w:p>
      <w:pPr>
        <w:pStyle w:val="Heading2"/>
      </w:pPr>
      <w:r>
        <w:t xml:space="preserve">📐 ESPECIFICACIONES TÉCNICAS CLAVE</w:t>
      </w:r>
    </w:p>
    <w:bookmarkStart w:id="3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kV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31"/>
    <w:bookmarkStart w:id="3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CCO con capacidad para 500 operadores</w:t>
      </w:r>
    </w:p>
    <w:p>
      <w:pPr>
        <w:pStyle w:val="Compact"/>
        <w:numPr>
          <w:ilvl w:val="0"/>
          <w:numId w:val="1003"/>
        </w:numPr>
      </w:pPr>
      <w:r>
        <w:t xml:space="preserve">✅ 37 estaciones con servicios completos</w:t>
      </w:r>
    </w:p>
    <w:p>
      <w:pPr>
        <w:pStyle w:val="Compact"/>
        <w:numPr>
          <w:ilvl w:val="0"/>
          <w:numId w:val="1003"/>
        </w:numPr>
      </w:pPr>
      <w:r>
        <w:t xml:space="preserve">✅ 8 subestaciones de 25 kV</w:t>
      </w:r>
    </w:p>
    <w:p>
      <w:pPr>
        <w:pStyle w:val="Compact"/>
        <w:numPr>
          <w:ilvl w:val="0"/>
          <w:numId w:val="1003"/>
        </w:numPr>
      </w:pPr>
      <w:r>
        <w:t xml:space="preserve">✅ Disponibilidad 99.5% de infraestructura crítica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ubicación-y-despliegue"/>
    <w:p>
      <w:pPr>
        <w:pStyle w:val="Heading2"/>
      </w:pPr>
      <w:r>
        <w:t xml:space="preserve">📍 UBICACIÓN Y DESPLIEGUE</w:t>
      </w:r>
    </w:p>
    <w:bookmarkStart w:id="3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594 km, con concentración en La Dorada (CCO), estaciones principales y ubicaciones estratégicas.</w:t>
      </w:r>
    </w:p>
    <w:bookmarkEnd w:id="34"/>
    <w:bookmarkStart w:id="3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99.5%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dt-scada-001002003"/>
    <w:p>
      <w:pPr>
        <w:pStyle w:val="Heading3"/>
      </w:pPr>
      <w:r>
        <w:t xml:space="preserve">DT-SCADA-001/002/003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05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2026-02-06T19:44:56Z</dcterms:created>
  <dcterms:modified xsi:type="dcterms:W3CDTF">2026-02-06T19:44:56Z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