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6-integración-y-coordinación"/>
    <w:p>
      <w:pPr>
        <w:pStyle w:val="Heading1"/>
      </w:pPr>
      <w:r>
        <w:t xml:space="preserve">SISTEMA 06: INTEGRACIÓN Y COORDINACIÓN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CTC-ITCS (FFFIS), TETRA-TETRA,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(sistema crítico para operación)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CTC-ITCS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CTC-ITCS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15"/>
    <w:bookmarkStart w:id="16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16"/>
    <w:bookmarkStart w:id="17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17"/>
    <w:bookmarkStart w:id="18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18"/>
    <w:bookmarkStart w:id="19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19"/>
    <w:bookmarkStart w:id="20" w:name="por-qué-disponibilidad-99.5"/>
    <w:p>
      <w:pPr>
        <w:pStyle w:val="Heading3"/>
      </w:pPr>
      <w:r>
        <w:t xml:space="preserve">¿Por qué disponibilidad 99.5%?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CTC-ITCS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2026-02-06T19:44:56Z</dcterms:created>
  <dcterms:modified xsi:type="dcterms:W3CDTF">2026-02-06T19:44:56Z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