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especialidad-01-ingeniería-civil"/>
    <w:p>
      <w:pPr>
        <w:pStyle w:val="Heading1"/>
      </w:pPr>
      <w:r>
        <w:t xml:space="preserve">ESPECIALIDAD 01: INGENIERÍA CIVIL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UIC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UIC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14"/>
    <w:bookmarkStart w:id="15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15"/>
    <w:bookmarkStart w:id="16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16"/>
    <w:bookmarkStart w:id="17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17"/>
    <w:bookmarkStart w:id="18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21"/>
    <w:bookmarkStart w:id="22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24"/>
    <w:bookmarkStart w:id="25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25"/>
    <w:bookmarkStart w:id="26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31"/>
    <w:bookmarkStart w:id="32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35"/>
    <w:bookmarkStart w:id="3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as-especialidades"/>
    <w:p>
      <w:pPr>
        <w:pStyle w:val="Heading2"/>
      </w:pPr>
      <w:r>
        <w:t xml:space="preserve">🔗 INTERFACES CON OTRAS ESPECIALIDADES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5" w:name="decisiones-tecnicas-aplicadas"/>
    <w:p>
      <w:pPr>
        <w:pStyle w:val="Heading2"/>
      </w:pPr>
      <w:r>
        <w:t xml:space="preserve">📋 DECISIONES TECNICAS APLICADAS</w:t>
      </w:r>
    </w:p>
    <w:bookmarkStart w:id="54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2025-11-12T13:24:13Z</dcterms:created>
  <dcterms:modified xsi:type="dcterms:W3CDTF">2025-11-12T13:24:13Z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