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alcance-y-objetivos"/>
    <w:p>
      <w:pPr>
        <w:pStyle w:val="Heading1"/>
      </w:pPr>
      <w:r>
        <w:t xml:space="preserve">GESTIÓN EJECUTIVA: ALCANCE Y OBJETIVOS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TETRA/GSM-R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14"/>
    <w:bookmarkStart w:id="15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15"/>
    <w:bookmarkStart w:id="16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16"/>
    <w:bookmarkStart w:id="17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17"/>
    <w:bookmarkStart w:id="18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proyecto"/>
    <w:p>
      <w:pPr>
        <w:pStyle w:val="Heading2"/>
      </w:pPr>
      <w:r>
        <w:t xml:space="preserve">🎯 FUNCIÓN Y PROPÓSITO DEL PROYECTO</w:t>
      </w:r>
    </w:p>
    <w:bookmarkStart w:id="20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21"/>
    <w:bookmarkStart w:id="22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UIC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24"/>
    <w:bookmarkStart w:id="25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25"/>
    <w:bookmarkStart w:id="26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5"/>
    <w:bookmarkStart w:id="36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proyectos"/>
    <w:p>
      <w:pPr>
        <w:pStyle w:val="Heading2"/>
      </w:pPr>
      <w:r>
        <w:t xml:space="preserve">🔗 INTERFACES CON OTROS PROYECTOS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2025-11-12T13:24:15Z</dcterms:created>
  <dcterms:modified xsi:type="dcterms:W3CDTF">2025-11-12T13:24:15Z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