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cronograma-y-recursos"/>
    <w:p>
      <w:pPr>
        <w:pStyle w:val="Heading1"/>
      </w:pPr>
      <w:r>
        <w:t xml:space="preserve">GESTIÓN EJECUTIVA: CRONOGRAMA Y RECURSOS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14"/>
    <w:bookmarkStart w:id="15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15"/>
    <w:bookmarkStart w:id="16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16"/>
    <w:bookmarkStart w:id="17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17"/>
    <w:bookmarkStart w:id="18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gestión"/>
    <w:p>
      <w:pPr>
        <w:pStyle w:val="Heading2"/>
      </w:pPr>
      <w:r>
        <w:t xml:space="preserve">🎯 FUNCIÓN Y PROPÓSITO DE LA GESTIÓN</w:t>
      </w:r>
    </w:p>
    <w:bookmarkStart w:id="20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21"/>
    <w:bookmarkStart w:id="22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24"/>
    <w:bookmarkStart w:id="25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25"/>
    <w:bookmarkStart w:id="26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35"/>
    <w:bookmarkStart w:id="36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aspectos"/>
    <w:p>
      <w:pPr>
        <w:pStyle w:val="Heading2"/>
      </w:pPr>
      <w:r>
        <w:t xml:space="preserve">🔗 INTERFACES CON OTROS ASPECTOS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2025-11-12T13:24:15Z</dcterms:created>
  <dcterms:modified xsi:type="dcterms:W3CDTF">2025-11-12T13:24:15Z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