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f82fca9a88e2da7c69f7a80f54c22e0f2cb9777"/>
    <w:p>
      <w:pPr>
        <w:pStyle w:val="Heading1"/>
      </w:pPr>
      <w:r>
        <w:t xml:space="preserve">DOCUMENTO DE CONTROL DE INTERFACES (ICD) v1.0</w:t>
      </w:r>
    </w:p>
    <w:bookmarkStart w:id="9" w:name="app-la-dorada---chiriguaná"/>
    <w:p>
      <w:pPr>
        <w:pStyle w:val="Heading2"/>
      </w:pPr>
      <w:r>
        <w:t xml:space="preserve">APP La Dorada - Chiriguaná</w:t>
      </w:r>
    </w:p>
    <w:p>
      <w:r>
        <w:pict>
          <v:rect style="width:0;height:1.5pt" o:hralign="center" o:hrstd="t" o:hr="t"/>
        </w:pict>
      </w:r>
    </w:p>
    <w:bookmarkEnd w:id="9"/>
    <w:bookmarkStart w:id="13" w:name="objetivo-y-alcance"/>
    <w:p>
      <w:pPr>
        <w:pStyle w:val="Heading2"/>
      </w:pPr>
      <w:r>
        <w:t xml:space="preserve">1. OBJETIVO Y ALCANCE</w:t>
      </w:r>
    </w:p>
    <w:bookmarkStart w:id="10" w:name="objetivo"/>
    <w:p>
      <w:pPr>
        <w:pStyle w:val="Heading3"/>
      </w:pPr>
      <w:r>
        <w:t xml:space="preserve">1.1 Objetivo</w:t>
      </w:r>
    </w:p>
    <w:p>
      <w:pPr>
        <w:pStyle w:val="FirstParagraph"/>
      </w:pPr>
      <w:r>
        <w:t xml:space="preserve">El objetivo de este documento es definir, controlar y gestionar todas las interfaces (físicas, lógicas, de datos y operativas) entre los diferentes subsistemas del proyecto. Este ICD es la única fuente de verdad para la integración de sistemas, asegurando la compatibilidad y la coherencia técnica durante todo el ciclo de vida del proyecto.</w:t>
      </w:r>
    </w:p>
    <w:bookmarkEnd w:id="10"/>
    <w:bookmarkStart w:id="11" w:name="alcance"/>
    <w:p>
      <w:pPr>
        <w:pStyle w:val="Heading3"/>
      </w:pPr>
      <w:r>
        <w:t xml:space="preserve">1.2 Alcance</w:t>
      </w:r>
    </w:p>
    <w:p>
      <w:pPr>
        <w:pStyle w:val="FirstParagraph"/>
      </w:pPr>
      <w:r>
        <w:t xml:space="preserve">Este documento cubre las interfaces entre todos los sistemas definidos en la WBS, incluyendo pero no limitándose 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Control:</w:t>
      </w:r>
      <w:r>
        <w:t xml:space="preserve"> </w:t>
      </w:r>
      <w:r>
        <w:t xml:space="preserve">CTC, Señalización, Enclavamientos.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Telecomunicaciones:</w:t>
      </w:r>
      <w:r>
        <w:t xml:space="preserve"> </w:t>
      </w:r>
      <w:r>
        <w:t xml:space="preserve">Fibra Óptica, Radio TETRA, Red de Datos.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Seguridad:</w:t>
      </w:r>
      <w:r>
        <w:t xml:space="preserve"> </w:t>
      </w:r>
      <w:r>
        <w:t xml:space="preserve">CCTV, Control de Accesos.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Rodante:</w:t>
      </w:r>
      <w:r>
        <w:t xml:space="preserve"> </w:t>
      </w:r>
      <w:r>
        <w:t xml:space="preserve">Equipos embarcados (ITCS, Radio).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de Energía:</w:t>
      </w:r>
      <w:r>
        <w:t xml:space="preserve"> </w:t>
      </w:r>
      <w:r>
        <w:t xml:space="preserve">Alimentación principal y de respaldo (UPS).</w:t>
      </w:r>
    </w:p>
    <w:bookmarkEnd w:id="11"/>
    <w:bookmarkStart w:id="12" w:name="evaluación-de-dependencias-documentales"/>
    <w:p>
      <w:pPr>
        <w:pStyle w:val="Heading3"/>
      </w:pPr>
      <w:r>
        <w:t xml:space="preserve">1.3 ⚠️ EVALUACIÓN DE DEPENDENCIAS DOCUMENTALES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Depende de: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38. DiagramasArquitectura...md</w:t>
      </w:r>
      <w:r>
        <w:t xml:space="preserve">: Proporciona la visión de alto nivel de las interconexiones.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37. MemoriasDiseño_Basico...md</w:t>
      </w:r>
      <w:r>
        <w:t xml:space="preserve">: Justifica las tecnologías y protocolos a ser utilizados en las interfaces.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Gobierna a: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42. Plan_Pruebas...md</w:t>
      </w:r>
      <w:r>
        <w:t xml:space="preserve">: Las pruebas de integración (SIT) deben validar el correcto funcionamiento de cada interfaz definida aquí.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V. Ingenieria de detalle</w:t>
      </w:r>
      <w:r>
        <w:t xml:space="preserve">: Todos los diseños detallados deben implementar las interfaces conforme a lo especificado en este ICD.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4" w:name="matriz-de-interfaces-de-alto-nivel"/>
    <w:p>
      <w:pPr>
        <w:pStyle w:val="Heading2"/>
      </w:pPr>
      <w:r>
        <w:t xml:space="preserve">2. MATRIZ DE INTERFACES DE ALTO NIVEL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 /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Enclavamiento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Datos /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SCI-CC-A (NAS 830)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ITCS (Material Rodante)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Datos /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ETCS Nivel 2 (Supuesto)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</w:t>
            </w:r>
            <w:r>
              <w:t xml:space="preserve"> </w:t>
            </w:r>
            <w:r>
              <w:rPr>
                <w:b/>
                <w:bCs/>
              </w:rPr>
              <w:t xml:space="preserve">Bloqueada (AT3)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Base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Backbone 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Física / Lógica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IP/MPLS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Telecom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Cámara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Física /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ONVIF sobre 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Enclavamiento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Energía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Física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24V DC Redundante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  <w:r>
              <w:t xml:space="preserve"> </w:t>
            </w:r>
            <w:r>
              <w:rPr>
                <w:b/>
                <w:bCs/>
              </w:rPr>
              <w:t xml:space="preserve">Definida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Datos /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EULYNX (Propuesto)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</w:t>
            </w:r>
            <w:r>
              <w:t xml:space="preserve"> </w:t>
            </w:r>
            <w:r>
              <w:rPr>
                <w:b/>
                <w:bCs/>
              </w:rPr>
              <w:t xml:space="preserve">Por Validar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IF-07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Bloque Integración Multi-sistema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Lógica /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918-4, IEC 62443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Líder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Especificado (DT-INTERFACES-001)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8" w:name="especificación-de-interfaces-críticas"/>
    <w:p>
      <w:pPr>
        <w:pStyle w:val="Heading2"/>
      </w:pPr>
      <w:r>
        <w:t xml:space="preserve">3. ESPECIFICACIÓN DE INTERFACES CRÍTICAS</w:t>
      </w:r>
    </w:p>
    <w:bookmarkStart w:id="15" w:name="interfaz-if-01-ctc-enclavamiento"/>
    <w:p>
      <w:pPr>
        <w:pStyle w:val="Heading3"/>
      </w:pPr>
      <w:r>
        <w:t xml:space="preserve">3.1 Interfaz IF-01: CTC ↔ Enclavamiento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Descripción:</w:t>
      </w:r>
      <w:r>
        <w:t xml:space="preserve"> </w:t>
      </w:r>
      <w:r>
        <w:t xml:space="preserve">Interfaz para el envío de comandos de ruta desde el CTC y la recepción del estado de los elementos de señalización en campo.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Medio Físico:</w:t>
      </w:r>
      <w:r>
        <w:t xml:space="preserve"> </w:t>
      </w:r>
      <w:r>
        <w:t xml:space="preserve">Conexión Ethernet a través de la red de Fibra Óptica.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Protocolo Lógico:</w:t>
      </w:r>
      <w:r>
        <w:t xml:space="preserve"> </w:t>
      </w:r>
      <w:r>
        <w:t xml:space="preserve">SCI-CC-A (NAS 830) sobre TCP/IP.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Formato de Datos:</w:t>
      </w:r>
      <w:r>
        <w:t xml:space="preserve"> </w:t>
      </w:r>
      <w:r>
        <w:t xml:space="preserve">Mensajería binaria según especificación ADIF.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Requisitos de Rendimiento:</w:t>
      </w:r>
      <w:r>
        <w:t xml:space="preserve"> </w:t>
      </w:r>
      <w:r>
        <w:t xml:space="preserve">Latencia máxima end-to-end &lt; 100 ms.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Requisitos de Disponibilidad:</w:t>
      </w:r>
      <w:r>
        <w:t xml:space="preserve"> </w:t>
      </w:r>
      <w:r>
        <w:t xml:space="preserve">99.99% (requiere redundancia de enlace y de procesadores en el enclavamiento).</w:t>
      </w:r>
    </w:p>
    <w:bookmarkEnd w:id="15"/>
    <w:bookmarkStart w:id="16" w:name="interfaz-if-02-ctc-itcs-material-rodante"/>
    <w:p>
      <w:pPr>
        <w:pStyle w:val="Heading3"/>
      </w:pPr>
      <w:r>
        <w:t xml:space="preserve">3.2 Interfaz IF-02: CTC ↔ ITCS (Material Rodante)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Descripción:</w:t>
      </w:r>
      <w:r>
        <w:t xml:space="preserve"> </w:t>
      </w:r>
      <w:r>
        <w:t xml:space="preserve">Interfaz para el envío de Autorizaciones de Movimiento (MA) y la recepción de la posición exacta del tren.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Medio Físico:</w:t>
      </w:r>
      <w:r>
        <w:t xml:space="preserve"> </w:t>
      </w:r>
      <w:r>
        <w:t xml:space="preserve">Red de Radio TETRA (canal de datos) y/o GSM-R.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Protocolo Lógico:</w:t>
      </w:r>
      <w:r>
        <w:t xml:space="preserve"> </w:t>
      </w:r>
      <w:r>
        <w:rPr>
          <w:b/>
          <w:bCs/>
        </w:rPr>
        <w:t xml:space="preserve">(Supuesto Técnico)</w:t>
      </w:r>
      <w:r>
        <w:t xml:space="preserve"> </w:t>
      </w:r>
      <w:r>
        <w:t xml:space="preserve">Se asume ETCS Nivel 2. La definición final está bloqueada por el Apéndice Técnico 3.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Riesgo Asociado:</w:t>
      </w:r>
      <w:r>
        <w:t xml:space="preserve"> </w:t>
      </w:r>
      <w:r>
        <w:rPr>
          <w:b/>
          <w:bCs/>
        </w:rPr>
        <w:t xml:space="preserve">R-TEC-001</w:t>
      </w:r>
      <w:r>
        <w:t xml:space="preserve">. La indefinición del estándar ITCS es un riesgo crítico. Se diseña una interfaz modular para mitigar el impacto.</w:t>
      </w:r>
    </w:p>
    <w:bookmarkEnd w:id="16"/>
    <w:bookmarkStart w:id="17" w:name="Xc398de1dd66fb996d0fc9e0a678fbb523043b02"/>
    <w:p>
      <w:pPr>
        <w:pStyle w:val="Heading3"/>
      </w:pPr>
      <w:r>
        <w:t xml:space="preserve">3.3 Interfaz IF-07: CTC ↔ Bloque Lógico de Integración Multi-sistema ⭐</w:t>
      </w:r>
      <w:r>
        <w:t xml:space="preserve"> </w:t>
      </w:r>
      <w:r>
        <w:rPr>
          <w:b/>
          <w:bCs/>
        </w:rPr>
        <w:t xml:space="preserve">NUEVO (DT-INTERFACES-001)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Descripción:</w:t>
      </w:r>
      <w:r>
        <w:t xml:space="preserve"> </w:t>
      </w:r>
      <w:r>
        <w:t xml:space="preserve">Bloque lógico de integración que NO es hardware físico único, sino un conjunto funcional que conecta el CTC con múltiples subsistemas.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1.1.106 - Interfaces comunicación ($150.000.000 COP)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Composición del Bloque: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Gateways industriales:</w:t>
      </w:r>
      <w:r>
        <w:t xml:space="preserve"> </w:t>
      </w:r>
      <w:r>
        <w:t xml:space="preserve">Conversión de protocolos CTC ↔ ITCS/ETCS L2 ↔ FENOCO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Switches de borde ferroviario:</w:t>
      </w:r>
      <w:r>
        <w:t xml:space="preserve"> </w:t>
      </w:r>
      <w:r>
        <w:t xml:space="preserve">Segmentación de red para subsistemas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Firewalls IEC 62443:</w:t>
      </w:r>
      <w:r>
        <w:t xml:space="preserve"> </w:t>
      </w:r>
      <w:r>
        <w:t xml:space="preserve">Ciberseguridad industrial (nivel SL-3)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Middleware interoperabilidad:</w:t>
      </w:r>
      <w:r>
        <w:t xml:space="preserve"> </w:t>
      </w:r>
      <w:r>
        <w:t xml:space="preserve">Protocolo UIC 918-4 para FENOCO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Licencias software comunicación:</w:t>
      </w:r>
      <w:r>
        <w:t xml:space="preserve"> </w:t>
      </w:r>
      <w:r>
        <w:t xml:space="preserve">SCADA, gestión de interfaces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Interfaces que soporta:</w:t>
      </w:r>
    </w:p>
    <w:p>
      <w:pPr>
        <w:pStyle w:val="Compact"/>
        <w:numPr>
          <w:ilvl w:val="1"/>
          <w:numId w:val="1008"/>
        </w:numPr>
      </w:pPr>
      <w:r>
        <w:t xml:space="preserve">CTC ↔ ITCS/ETCS Nivel 2 (intercambio telegramas, datos ocupación vía RBC)</w:t>
      </w:r>
    </w:p>
    <w:p>
      <w:pPr>
        <w:pStyle w:val="Compact"/>
        <w:numPr>
          <w:ilvl w:val="1"/>
          <w:numId w:val="1008"/>
        </w:numPr>
      </w:pPr>
      <w:r>
        <w:t xml:space="preserve">CTC ↔ FENOCO (Gateway UIC, protocolo 918-4)</w:t>
      </w:r>
    </w:p>
    <w:p>
      <w:pPr>
        <w:pStyle w:val="Compact"/>
        <w:numPr>
          <w:ilvl w:val="1"/>
          <w:numId w:val="1008"/>
        </w:numPr>
      </w:pPr>
      <w:r>
        <w:t xml:space="preserve">CTC ↔ TETRA (canal voz/datos comunicaciones tren-tierra)</w:t>
      </w:r>
    </w:p>
    <w:p>
      <w:pPr>
        <w:pStyle w:val="Compact"/>
        <w:numPr>
          <w:ilvl w:val="1"/>
          <w:numId w:val="1008"/>
        </w:numPr>
      </w:pPr>
      <w:r>
        <w:t xml:space="preserve">CTC ↔ Fibra Óptica (backbone redundante N+1 del corredor)</w:t>
      </w:r>
    </w:p>
    <w:p>
      <w:pPr>
        <w:pStyle w:val="Compact"/>
        <w:numPr>
          <w:ilvl w:val="1"/>
          <w:numId w:val="1008"/>
        </w:numPr>
      </w:pPr>
      <w:r>
        <w:t xml:space="preserve">CTC ↔ Sistemas ITS (CCTV, acceso, detección intrusión)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Arquitectura:</w:t>
      </w:r>
      <w:r>
        <w:t xml:space="preserve"> </w:t>
      </w:r>
      <w:r>
        <w:t xml:space="preserve">Redundancia N+1 en comunicaciones críticas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Alcance $150M incluye:</w:t>
      </w:r>
    </w:p>
    <w:p>
      <w:pPr>
        <w:pStyle w:val="Compact"/>
        <w:numPr>
          <w:ilvl w:val="1"/>
          <w:numId w:val="1009"/>
        </w:numPr>
      </w:pPr>
      <w:r>
        <w:t xml:space="preserve">Licencias integración (protocolos, middleware)</w:t>
      </w:r>
    </w:p>
    <w:p>
      <w:pPr>
        <w:pStyle w:val="Compact"/>
        <w:numPr>
          <w:ilvl w:val="1"/>
          <w:numId w:val="1009"/>
        </w:numPr>
      </w:pPr>
      <w:r>
        <w:t xml:space="preserve">Configuración interfaces y redundancia N+1</w:t>
      </w:r>
    </w:p>
    <w:p>
      <w:pPr>
        <w:pStyle w:val="Compact"/>
        <w:numPr>
          <w:ilvl w:val="1"/>
          <w:numId w:val="1009"/>
        </w:numPr>
      </w:pPr>
      <w:r>
        <w:t xml:space="preserve">Ensayos FAT/SAT interoperabilidad</w:t>
      </w:r>
    </w:p>
    <w:p>
      <w:pPr>
        <w:pStyle w:val="Compact"/>
        <w:numPr>
          <w:ilvl w:val="1"/>
          <w:numId w:val="1009"/>
        </w:numPr>
      </w:pPr>
      <w:r>
        <w:t xml:space="preserve">Integración en entorno virtual (CTC virtual + ETCS L2)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NOTA IMPORTANTE:</w:t>
      </w:r>
      <w:r>
        <w:t xml:space="preserve"> </w:t>
      </w:r>
      <w:r>
        <w:t xml:space="preserve">Equipos físicos mayores cubiertos en ítems 1.1.100-1.1.105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Riesgos Mitigados:</w:t>
      </w:r>
    </w:p>
    <w:p>
      <w:pPr>
        <w:pStyle w:val="Compact"/>
        <w:numPr>
          <w:ilvl w:val="1"/>
          <w:numId w:val="1010"/>
        </w:numPr>
      </w:pPr>
      <w:r>
        <w:t xml:space="preserve">R-INT-001: Falta de trazabilidad en integración de sistemas ✅ MITIGADO</w:t>
      </w:r>
    </w:p>
    <w:p>
      <w:pPr>
        <w:pStyle w:val="Compact"/>
        <w:numPr>
          <w:ilvl w:val="1"/>
          <w:numId w:val="1010"/>
        </w:numPr>
      </w:pPr>
      <w:r>
        <w:t xml:space="preserve">R-INT-002: Ambigüedad en alcance de interfaces ✅ MITIGADO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Xdab8378bb32b5fe2c6ebb380a92a31f4b5fbcb2"/>
    <w:p>
      <w:pPr>
        <w:pStyle w:val="Heading2"/>
      </w:pPr>
      <w:r>
        <w:t xml:space="preserve">4. GOBERNANZA Y PROCESO DE GESTIÓN DE INTERFACES</w:t>
      </w:r>
    </w:p>
    <w:bookmarkStart w:id="19" w:name="interface-control-working-group-icwg"/>
    <w:p>
      <w:pPr>
        <w:pStyle w:val="Heading3"/>
      </w:pPr>
      <w:r>
        <w:t xml:space="preserve">4.1 Interface Control Working Group (ICWG)</w:t>
      </w:r>
    </w:p>
    <w:p>
      <w:pPr>
        <w:pStyle w:val="FirstParagraph"/>
      </w:pPr>
      <w:r>
        <w:t xml:space="preserve">Se establece un comité de control de interfaces (ICWG) conformado por los líderes técnicos de cada disciplina (Señalización, Telecom, Energía, etc.) y presidido por el Arquitecto de Sistemas del EPC. Su función es revisar y aprobar cualquier cambio en las interfaces.</w:t>
      </w:r>
    </w:p>
    <w:bookmarkEnd w:id="19"/>
    <w:bookmarkStart w:id="20" w:name="X5d14d75a924df4ffcd23ffed68f76f4282c24ca"/>
    <w:p>
      <w:pPr>
        <w:pStyle w:val="Heading3"/>
      </w:pPr>
      <w:r>
        <w:t xml:space="preserve">4.2 Proceso de Control de Cambios (Interface Change Request - ICR)</w:t>
      </w:r>
    </w:p>
    <w:p>
      <w:pPr>
        <w:pStyle w:val="FirstParagraph"/>
      </w:pPr>
      <w:r>
        <w:t xml:space="preserve">Cualquier cambio propuesto a una interfaz definida en este ICD debe seguir un proceso formal: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Solicitud (ICR):</w:t>
      </w:r>
      <w:r>
        <w:t xml:space="preserve"> </w:t>
      </w:r>
      <w:r>
        <w:t xml:space="preserve">El líder de sistema que propone el cambio completa un formato de ICR, detallando la justificación técnica y el impacto en otros sistemas.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Revisión (ICWG):</w:t>
      </w:r>
      <w:r>
        <w:t xml:space="preserve"> </w:t>
      </w:r>
      <w:r>
        <w:t xml:space="preserve">El ICWG revisa la solicitud en su reunión semanal.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Aprobación/Rechazo:</w:t>
      </w:r>
      <w:r>
        <w:t xml:space="preserve"> </w:t>
      </w:r>
      <w:r>
        <w:t xml:space="preserve">La decisión se documenta y se comunica a todos los equipos.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Actualización del ICD:</w:t>
      </w:r>
      <w:r>
        <w:t xml:space="preserve"> </w:t>
      </w:r>
      <w:r>
        <w:t xml:space="preserve">Si se aprueba, este documento se actualiza a una nueva versión y se redistribuye.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X057943caaf730f2f5b9cbd15424511dd2ddaf03"/>
    <w:p>
      <w:pPr>
        <w:pStyle w:val="Heading2"/>
      </w:pPr>
      <w:r>
        <w:t xml:space="preserve">5. ⚠️ RIESGOS ASOCIADOS A LA GESTIÓN DE INTERFACES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0"/>
        <w:gridCol w:w="1440"/>
        <w:gridCol w:w="1800"/>
        <w:gridCol w:w="1800"/>
        <w:gridCol w:w="1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R-GES-003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Desalineación en Interfaces:</w:t>
            </w:r>
            <w:r>
              <w:t xml:space="preserve"> </w:t>
            </w:r>
            <w:r>
              <w:t xml:space="preserve">Cambios no comunicados que generan incompatibilidad en la integración.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Crítico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estricta del proceso de ICR y el ICWG. Ningún cambio es válido sin un ICR aprobado.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R-TEC-010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Incompatibilidad de Protocolos:</w:t>
            </w:r>
            <w:r>
              <w:t xml:space="preserve"> </w:t>
            </w:r>
            <w:r>
              <w:t xml:space="preserve">Sistemas de diferentes proveedores no logran comunicarse.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Priorizar estándares abiertos (IP, ONVIF, etc.). Realizar pruebas de concepto (PoC) en laboratorio antes de la compra.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R-TEC-011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Degradación de Rendimiento:</w:t>
            </w:r>
            <w:r>
              <w:t xml:space="preserve"> </w:t>
            </w:r>
            <w:r>
              <w:t xml:space="preserve">Interfaces mal diseñadas que crean cuellos de botella y afectan la operación.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Incluir requisitos de rendimiento (latencia, ancho de banda) en cada especificación de interfaz y validarlos en las pruebas SIT.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conclusiones"/>
    <w:p>
      <w:pPr>
        <w:pStyle w:val="Heading2"/>
      </w:pPr>
      <w:r>
        <w:t xml:space="preserve">6. CONCLUSIONES</w:t>
      </w:r>
    </w:p>
    <w:p>
      <w:pPr>
        <w:pStyle w:val="FirstParagraph"/>
      </w:pPr>
      <w:r>
        <w:t xml:space="preserve">Este Documento de Control de Interfaces (ICD) es la piedra angular para la integración exitosa del proyecto. Su estricto cumplimiento y el proceso de gobernanza asociado son mandatorios para todos los equipos de ingeniería del EPC.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Estado del documento: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Completado</w:t>
      </w:r>
      <w:r>
        <w:t xml:space="preserve"> </w:t>
      </w: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Responsable:</w:t>
      </w:r>
      <w:r>
        <w:t xml:space="preserve"> </w:t>
      </w:r>
      <w:r>
        <w:t xml:space="preserve">Arquitecto de Sistemas EPC</w:t>
      </w:r>
      <w:r>
        <w:t xml:space="preserve"> </w:t>
      </w:r>
      <w:r>
        <w:rPr>
          <w:b/>
          <w:bCs/>
        </w:rPr>
        <w:t xml:space="preserve">Fecha de Cierre:</w:t>
      </w:r>
      <w:r>
        <w:t xml:space="preserve"> </w:t>
      </w:r>
      <w:r>
        <w:t xml:space="preserve">19 de septiembre de 2025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2025-10-09T16:10:20Z</dcterms:created>
  <dcterms:modified xsi:type="dcterms:W3CDTF">2025-10-09T16:10:20Z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