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8" w:name="sistema-02-telecomunicaciones"/>
    <w:p>
      <w:pPr>
        <w:pStyle w:val="Heading1"/>
      </w:pPr>
      <w:r>
        <w:t xml:space="preserve">SISTEMA 02: TELECOMUNICACIONES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Telecomunicaciones es la</w:t>
      </w:r>
      <w:r>
        <w:t xml:space="preserve"> </w:t>
      </w:r>
      <w:r>
        <w:rPr>
          <w:b/>
          <w:bCs/>
        </w:rPr>
        <w:t xml:space="preserve">red de comunicación vital</w:t>
      </w:r>
      <w:r>
        <w:t xml:space="preserve"> </w:t>
      </w:r>
      <w:r>
        <w:t xml:space="preserve">del ferrocarril que permite la operación segura y eficiente de todos los trenes. Es como el</w:t>
      </w:r>
      <w:r>
        <w:t xml:space="preserve"> </w:t>
      </w:r>
      <w:r>
        <w:t xml:space="preserve">“sistema nervioso”</w:t>
      </w:r>
      <w:r>
        <w:t xml:space="preserve"> </w:t>
      </w:r>
      <w:r>
        <w:t xml:space="preserve">del ferrocarril, conectando todos los componentes críticos para garantizar que los trenes operen de manera coordinada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$45,000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TETRA/GSM-R:</w:t>
      </w:r>
      <w:r>
        <w:t xml:space="preserve"> </w:t>
      </w:r>
      <w:r>
        <w:t xml:space="preserve">Justificado por radio de cobertura de 15 km por estación con 20% solapamiento sobre corredor de 594 km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594 km fibra óptica: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2,068 cajas de empalme:</w:t>
      </w:r>
      <w:r>
        <w:t xml:space="preserve"> </w:t>
      </w:r>
      <w:r>
        <w:t xml:space="preserve">Calculadas cada 300m (594,000m ÷ 300m = 1,980 + 88 adicionales por redundancia)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garantizada por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TETRA, 99.95% GSM-R (según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7-estaciones-tetragsm-r"/>
    <w:p>
      <w:pPr>
        <w:pStyle w:val="Heading3"/>
      </w:pPr>
      <w:r>
        <w:t xml:space="preserve">¿Por qué 37 estaciones TETRA/GSM-R?</w:t>
      </w:r>
    </w:p>
    <w:p>
      <w:pPr>
        <w:pStyle w:val="FirstParagraph"/>
      </w:pPr>
      <w:r>
        <w:rPr>
          <w:b/>
          <w:bCs/>
        </w:rPr>
        <w:t xml:space="preserve">Cálculo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 por estación:</w:t>
      </w:r>
      <w:r>
        <w:t xml:space="preserve"> </w:t>
      </w:r>
      <w:r>
        <w:t xml:space="preserve">15 km (según especificaciones TETRA/GSM-R)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 requerido:</w:t>
      </w:r>
      <w:r>
        <w:t xml:space="preserve"> </w:t>
      </w:r>
      <w:r>
        <w:t xml:space="preserve">20% entre estaciones (para redundancia y continuidad)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 por estación:</w:t>
      </w:r>
      <w:r>
        <w:t xml:space="preserve"> </w:t>
      </w:r>
      <w:r>
        <w:t xml:space="preserve">12 km (15 km - 3 km solapamiento)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total:</w:t>
      </w:r>
      <w:r>
        <w:t xml:space="preserve"> </w:t>
      </w:r>
      <w:r>
        <w:t xml:space="preserve">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km/estación = 49.5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(optimizado por ubicaciones estratégicas)</w:t>
      </w:r>
    </w:p>
    <w:p>
      <w:pPr>
        <w:pStyle w:val="BodyText"/>
      </w:pPr>
      <w:r>
        <w:rPr>
          <w:b/>
          <w:bCs/>
        </w:rPr>
        <w:t xml:space="preserve">Justificación de Colocalización: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Compartir infraestructura (torres, alimentación,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predial:</w:t>
      </w:r>
      <w:r>
        <w:t xml:space="preserve"> </w:t>
      </w:r>
      <w:r>
        <w:t xml:space="preserve">Reducir de 74 a 37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Un solo sitio de mantenimiento por ubicación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TETRA + GSM-R en la misma torre</w:t>
      </w:r>
    </w:p>
    <w:bookmarkEnd w:id="14"/>
    <w:bookmarkStart w:id="15" w:name="por-qué-594-km-de-fibra-óptica"/>
    <w:p>
      <w:pPr>
        <w:pStyle w:val="Heading3"/>
      </w:pPr>
      <w:r>
        <w:t xml:space="preserve">¿Por qué 594 km de fibra óptica?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base:</w:t>
      </w:r>
      <w:r>
        <w:t xml:space="preserve"> </w:t>
      </w:r>
      <w:r>
        <w:t xml:space="preserve">526.133 km (La Dorada a Chiriguaná - longitud contractual)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Reserva técnica:</w:t>
      </w:r>
      <w:r>
        <w:t xml:space="preserve"> </w:t>
      </w:r>
      <w:r>
        <w:t xml:space="preserve">+10% = 52.613 km (curvas, derivaciones, contingencias)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Subtotal:</w:t>
      </w:r>
      <w:r>
        <w:t xml:space="preserve"> </w:t>
      </w:r>
      <w:r>
        <w:t xml:space="preserve">526.133 + 52.613 = 578.746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Redondeo técnico:</w:t>
      </w:r>
      <w:r>
        <w:t xml:space="preserve"> </w:t>
      </w:r>
      <w:r>
        <w:t xml:space="preserve">594 km (rollos comerciales de 4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Stock de repuesto:</w:t>
      </w:r>
      <w:r>
        <w:t xml:space="preserve"> </w:t>
      </w:r>
      <w:r>
        <w:t xml:space="preserve">Incluido en ítems separados (rollos adicionales)</w:t>
      </w:r>
    </w:p>
    <w:p>
      <w:pPr>
        <w:pStyle w:val="BodyText"/>
      </w:pPr>
      <w:r>
        <w:rPr>
          <w:b/>
          <w:bCs/>
        </w:rPr>
        <w:t xml:space="preserve">Cálculo Detallado:</w:t>
      </w:r>
    </w:p>
    <w:p>
      <w:pPr>
        <w:pStyle w:val="SourceCode"/>
      </w:pPr>
      <w:r>
        <w:rPr>
          <w:rStyle w:val="VerbatimChar"/>
        </w:rPr>
        <w:t xml:space="preserve">Corredor:      526.133 km</w:t>
      </w:r>
      <w:r>
        <w:br/>
      </w:r>
      <w:r>
        <w:rPr>
          <w:rStyle w:val="VerbatimChar"/>
        </w:rPr>
        <w:t xml:space="preserve">Reserva +10%:   52.613 km</w:t>
      </w:r>
      <w:r>
        <w:br/>
      </w:r>
      <w:r>
        <w:rPr>
          <w:rStyle w:val="VerbatimChar"/>
        </w:rPr>
        <w:t xml:space="preserve">─────────────────────────</w:t>
      </w:r>
      <w:r>
        <w:br/>
      </w:r>
      <w:r>
        <w:rPr>
          <w:rStyle w:val="VerbatimChar"/>
        </w:rPr>
        <w:t xml:space="preserve">Subtotal:      578.746 km</w:t>
      </w:r>
      <w:r>
        <w:br/>
      </w:r>
      <w:r>
        <w:rPr>
          <w:rStyle w:val="VerbatimChar"/>
        </w:rPr>
        <w:t xml:space="preserve">Redondeo:      594.000 km  ← Cantidad WBS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NO es</w:t>
      </w:r>
      <w:r>
        <w:t xml:space="preserve"> </w:t>
      </w:r>
      <w:r>
        <w:t xml:space="preserve">“doble anillo”</w:t>
      </w:r>
      <w:r>
        <w:t xml:space="preserve"> </w:t>
      </w:r>
      <w:r>
        <w:t xml:space="preserve">(eso duplicaría a 1,188 km). Es corredor simple + 10% reserva técnica + stock en ítems separados.</w:t>
      </w:r>
    </w:p>
    <w:bookmarkEnd w:id="15"/>
    <w:bookmarkStart w:id="16" w:name="por-qué-2068-cajas-de-empalme"/>
    <w:p>
      <w:pPr>
        <w:pStyle w:val="Heading3"/>
      </w:pPr>
      <w:r>
        <w:t xml:space="preserve">¿Por qué 2,068 cajas de empalme?</w:t>
      </w:r>
    </w:p>
    <w:p>
      <w:pPr>
        <w:pStyle w:val="FirstParagraph"/>
      </w:pPr>
      <w:r>
        <w:rPr>
          <w:b/>
          <w:bCs/>
        </w:rPr>
        <w:t xml:space="preserve">Cálculo Técnico: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Separación estándar:</w:t>
      </w:r>
      <w:r>
        <w:t xml:space="preserve"> </w:t>
      </w:r>
      <w:r>
        <w:t xml:space="preserve">300m entre cajas (según normas UIT-T)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base:</w:t>
      </w:r>
      <w:r>
        <w:t xml:space="preserve"> </w:t>
      </w:r>
      <w:r>
        <w:t xml:space="preserve">594,000m ÷ 300m = 1,980 cajas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Cajas adicionales por redundancia:</w:t>
      </w:r>
      <w:r>
        <w:t xml:space="preserve"> </w:t>
      </w:r>
      <w:r>
        <w:t xml:space="preserve">88 cajas (estaciones, bifurcaciones,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1,980 + 88 =</w:t>
      </w:r>
      <w:r>
        <w:t xml:space="preserve"> </w:t>
      </w:r>
      <w:r>
        <w:rPr>
          <w:b/>
          <w:bCs/>
        </w:rPr>
        <w:t xml:space="preserve">2,068 cajas</w:t>
      </w:r>
    </w:p>
    <w:bookmarkEnd w:id="16"/>
    <w:bookmarkStart w:id="17" w:name="por-qué-altura-de-torres-de-40m"/>
    <w:p>
      <w:pPr>
        <w:pStyle w:val="Heading3"/>
      </w:pPr>
      <w:r>
        <w:t xml:space="preserve">¿Por qué altura de torres de 40m?</w:t>
      </w:r>
    </w:p>
    <w:p>
      <w:pPr>
        <w:pStyle w:val="FirstParagraph"/>
      </w:pPr>
      <w:r>
        <w:rPr>
          <w:b/>
          <w:bCs/>
        </w:rPr>
        <w:t xml:space="preserve">Criterios de Diseño: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de 15 km:</w:t>
      </w:r>
      <w:r>
        <w:t xml:space="preserve"> </w:t>
      </w:r>
      <w:r>
        <w:t xml:space="preserve">Requiere altura mínima de 35m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+5m para variaciones topográficas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 RETIE:</w:t>
      </w:r>
      <w:r>
        <w:t xml:space="preserve"> </w:t>
      </w:r>
      <w:r>
        <w:t xml:space="preserve">Altura estándar para telecomunicaciones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Balance entre cobertura y costo de estructura</w:t>
      </w:r>
    </w:p>
    <w:bookmarkEnd w:id="17"/>
    <w:bookmarkStart w:id="18" w:name="por-qué-tetra-gsm-r-no-solo-uno"/>
    <w:p>
      <w:pPr>
        <w:pStyle w:val="Heading3"/>
      </w:pPr>
      <w:r>
        <w:t xml:space="preserve">¿Por qué TETRA + GSM-R (no solo uno)?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TETRA</w:t>
      </w:r>
      <w:r>
        <w:t xml:space="preserve"> </w:t>
      </w:r>
      <w:r>
        <w:t xml:space="preserve">| Simplicidad, menor costo | Sin redundancia crítica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GSM-R</w:t>
      </w:r>
      <w:r>
        <w:t xml:space="preserve"> </w:t>
      </w:r>
      <w:r>
        <w:t xml:space="preserve">| Datos de alta velocidad | Limitaciones operacionales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Redundancia, especialización | Mayor costo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Especializado en comunicaciones operacionales (voz + datos operativos)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Especializado en datos críticos (ATP, CTC, sistemas de seguridad)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Si falla uno, el otro mantiene operación básica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Cumplimiento:</w:t>
      </w:r>
      <w:r>
        <w:t xml:space="preserve"> </w:t>
      </w:r>
      <w:r>
        <w:t xml:space="preserve">Estándares ferroviarios requieren redundancia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sistema"/>
    <w:p>
      <w:pPr>
        <w:pStyle w:val="Heading2"/>
      </w:pPr>
      <w:r>
        <w:t xml:space="preserve">🎯 FUNCIÓN Y PROPÓSITO DEL SISTEMA</w:t>
      </w:r>
    </w:p>
    <w:bookmarkStart w:id="20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Telecomunicaciones proporciona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entre: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</w:t>
      </w:r>
      <w:r>
        <w:t xml:space="preserve"> </w:t>
      </w:r>
      <w:r>
        <w:t xml:space="preserve">y todas las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 de operación</w:t>
      </w:r>
      <w:r>
        <w:t xml:space="preserve"> </w:t>
      </w:r>
      <w:r>
        <w:t xml:space="preserve">en campo y oficinas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automáticos</w:t>
      </w:r>
      <w:r>
        <w:t xml:space="preserve"> </w:t>
      </w:r>
      <w:r>
        <w:t xml:space="preserve">de control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Autoridades externas</w:t>
      </w:r>
      <w:r>
        <w:t xml:space="preserve"> </w:t>
      </w:r>
      <w:r>
        <w:t xml:space="preserve">(ANE, FENOCO)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Comunicación crítica para evitar accidentes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Coordinación en tiempo real de operaciones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comunicación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Múltiples canales de comunicación para confiabilidad</w:t>
      </w:r>
    </w:p>
    <w:bookmarkEnd w:id="21"/>
    <w:bookmarkStart w:id="22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[Telecomunicaciones]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de Tráfico]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mponentes-principales"/>
    <w:p>
      <w:pPr>
        <w:pStyle w:val="Heading2"/>
      </w:pPr>
      <w:r>
        <w:t xml:space="preserve">🏗️ COMPONENTES PRINCIPALES</w:t>
      </w:r>
    </w:p>
    <w:bookmarkStart w:id="25" w:name="sistema-tetra---radio-digital-principal"/>
    <w:p>
      <w:pPr>
        <w:pStyle w:val="Heading3"/>
      </w:pPr>
      <w:r>
        <w:t xml:space="preserve">1. Sistema TETRA - Radio Digital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voz y datos en tiempo real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Torres de comunicación | 37 unidades | A lo largo del corredor | ✅ Instaladas |</w:t>
      </w:r>
      <w:r>
        <w:t xml:space="preserve"> </w:t>
      </w:r>
      <w:r>
        <w:t xml:space="preserve">| Radios en locomotoras | 30 unidades | Material rodante | ⏳ En instalación |</w:t>
      </w:r>
      <w:r>
        <w:t xml:space="preserve"> </w:t>
      </w:r>
      <w:r>
        <w:t xml:space="preserve">| Radios portátiles | 80 unidades | Personal operativo | ✅ Entregados |</w:t>
      </w:r>
      <w:r>
        <w:t xml:space="preserve"> </w:t>
      </w:r>
      <w:r>
        <w:t xml:space="preserve">| Consolas de control | 3 unidades | Centro de Control | ✅ Operativas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Start w:id="24" w:name="Xea3129e6abd2f84dcad12c321f2ed5ff0b1a5fe"/>
    <w:p>
      <w:pPr>
        <w:pStyle w:val="Heading4"/>
      </w:pPr>
      <w:r>
        <w:rPr>
          <w:b/>
          <w:bCs/>
        </w:rPr>
        <w:t xml:space="preserve">Ítem WBS 2.1.103 - Radios Embarcados TETRA (30 unidades)</w:t>
      </w:r>
      <w:r>
        <w:t xml:space="preserve"> </w:t>
      </w:r>
      <w:r>
        <w:t xml:space="preserve">⭐ ACTUALIZADO (DT-TETRA-002)</w:t>
      </w:r>
    </w:p>
    <w:p>
      <w:pPr>
        <w:pStyle w:val="FirstParagraph"/>
      </w:pPr>
      <w:r>
        <w:rPr>
          <w:b/>
          <w:bCs/>
        </w:rPr>
        <w:t xml:space="preserve">Función técnica:</w:t>
      </w:r>
      <w:r>
        <w:t xml:space="preserve"> </w:t>
      </w:r>
      <w:r>
        <w:t xml:space="preserve">Radios TETRA embarcados en locomotoras y equipos operativos para comunicación voz/datos con CTC.</w:t>
      </w:r>
    </w:p>
    <w:p>
      <w:pPr>
        <w:pStyle w:val="BodyText"/>
      </w:pPr>
      <w:r>
        <w:rPr>
          <w:b/>
          <w:bCs/>
        </w:rPr>
        <w:t xml:space="preserve">Justificación de cantidad (30 unidades) según Metodología Punto 42: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048"/>
        <w:gridCol w:w="2731"/>
        <w:gridCol w:w="95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equipo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redundancia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Locomotoras operativas (U18C + GR12 + reserva)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(dotación + 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 maniobras/vía (carromotores, grúas, mantenimiento)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operativo (jefes tren, seguridad vía, apartaderos)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radios embarcados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≈ 30 unidades</w:t>
            </w:r>
          </w:p>
        </w:tc>
      </w:tr>
    </w:tbl>
    <w:p>
      <w:pPr>
        <w:pStyle w:val="BodyText"/>
      </w:pPr>
      <w:r>
        <w:rPr>
          <w:b/>
          <w:bCs/>
        </w:rPr>
        <w:t xml:space="preserve">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principales:</w:t>
      </w:r>
      <w:r>
        <w:t xml:space="preserve"> </w:t>
      </w:r>
      <w:r>
        <w:t xml:space="preserve">1 por locomotora (control tráfico y voz con CTC)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 radios portátiles maniobras:</w:t>
      </w:r>
      <w:r>
        <w:t xml:space="preserve"> </w:t>
      </w:r>
      <w:r>
        <w:t xml:space="preserve">Para personal de conducción y mantenimiento de vía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12 radios portátiles operativos:</w:t>
      </w:r>
      <w:r>
        <w:t xml:space="preserve"> </w:t>
      </w:r>
      <w:r>
        <w:t xml:space="preserve">Para jefes de tren, seguridad vía, control apartaderos</w:t>
      </w:r>
    </w:p>
    <w:p>
      <w:pPr>
        <w:pStyle w:val="BodyText"/>
      </w:pPr>
      <w:r>
        <w:rPr>
          <w:b/>
          <w:bCs/>
        </w:rPr>
        <w:t xml:space="preserve">Base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Apéndice Financiero 4:</w:t>
      </w:r>
      <w:r>
        <w:t xml:space="preserve"> </w:t>
      </w:r>
      <w:r>
        <w:t xml:space="preserve">Material rodante tractivo (1 U18 + 2 GR12 + complementario)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AT2:</w:t>
      </w:r>
      <w:r>
        <w:t xml:space="preserve"> </w:t>
      </w:r>
      <w:r>
        <w:t xml:space="preserve">Requerimientos operación segura y redundancia en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AT10:</w:t>
      </w:r>
      <w:r>
        <w:t xml:space="preserve"> </w:t>
      </w:r>
      <w:r>
        <w:t xml:space="preserve">Personal operativo y requisitos comunicaciones</w:t>
      </w:r>
    </w:p>
    <w:p>
      <w:pPr>
        <w:pStyle w:val="BodyText"/>
      </w:pPr>
      <w:r>
        <w:rPr>
          <w:b/>
          <w:bCs/>
        </w:rPr>
        <w:t xml:space="preserve">Alcance $35M por radio ($1.050M total):</w:t>
      </w:r>
      <w:r>
        <w:t xml:space="preserve"> </w:t>
      </w:r>
      <w:r>
        <w:t xml:space="preserve">- Radio TETRA industrial certificado</w:t>
      </w:r>
      <w:r>
        <w:t xml:space="preserve"> </w:t>
      </w:r>
      <w:r>
        <w:t xml:space="preserve">- Antena y cableado embarcado</w:t>
      </w:r>
      <w:r>
        <w:t xml:space="preserve"> </w:t>
      </w:r>
      <w:r>
        <w:t xml:space="preserve">- Licencias de operación</w:t>
      </w:r>
      <w:r>
        <w:t xml:space="preserve"> </w:t>
      </w:r>
      <w:r>
        <w:t xml:space="preserve">- Configuración y programación</w:t>
      </w:r>
      <w:r>
        <w:t xml:space="preserve"> </w:t>
      </w:r>
      <w:r>
        <w:t xml:space="preserve">- Ensayos de integración</w:t>
      </w:r>
    </w:p>
    <w:p>
      <w:pPr>
        <w:pStyle w:val="BodyText"/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- ✅ R-TETRA-001: Falta trazabilidad dimensionamiento (MITIGADO - cálculo documentado)</w:t>
      </w:r>
      <w:r>
        <w:t xml:space="preserve"> </w:t>
      </w:r>
      <w:r>
        <w:t xml:space="preserve">- ✅ R-TETRA-002: Ambigüedad cálculo flota (MITIGADO - Metodología Punto 42 aplicada)</w:t>
      </w:r>
    </w:p>
    <w:p>
      <w:pPr>
        <w:pStyle w:val="BodyText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DT-TETRA-002-2025-10-09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istema-gsm-r---red-de-datos-críticos"/>
    <w:p>
      <w:pPr>
        <w:pStyle w:val="Heading3"/>
      </w:pPr>
      <w:r>
        <w:t xml:space="preserve">2. Sistema GSM-R - Red de Datos Críticos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datos críticos para control automático de trenes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base GSM-R | 37 unidades | Colocalizadas con TETRA | ✅ Instaladas |</w:t>
      </w:r>
      <w:r>
        <w:t xml:space="preserve"> </w:t>
      </w:r>
      <w:r>
        <w:t xml:space="preserve">| Módulos embarcados | 30 unidades | En locomotoras | ⏳ En instalación |</w:t>
      </w:r>
      <w:r>
        <w:t xml:space="preserve"> </w:t>
      </w:r>
      <w:r>
        <w:t xml:space="preserve">| Antenas | 74 unidades | Torres de comunicación | ✅ Instaladas |</w:t>
      </w:r>
      <w:r>
        <w:t xml:space="preserve"> </w:t>
      </w:r>
      <w:r>
        <w:t xml:space="preserve">| Equipos de respaldo | 4 unidades | Centro de Control | ✅ Operativos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6"/>
    <w:bookmarkStart w:id="27" w:name="X40044e6dd3e2f901eee2b2cdad3bcfd3e5eeb43"/>
    <w:p>
      <w:pPr>
        <w:pStyle w:val="Heading3"/>
      </w:pPr>
      <w:r>
        <w:t xml:space="preserve">3. Red de Fibra Óptica - Backbone de Alta Capacidad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Red troncal de datos de alta velocidad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Cable de fibra óptica | 594 km | A lo largo del corredor | ⏳ En instalación |</w:t>
      </w:r>
      <w:r>
        <w:t xml:space="preserve"> </w:t>
      </w:r>
      <w:r>
        <w:t xml:space="preserve">| Cajas de empalme | 2,068 unidades | Cada 300m | ⏳ En instalación |</w:t>
      </w:r>
      <w:r>
        <w:t xml:space="preserve"> </w:t>
      </w:r>
      <w:r>
        <w:t xml:space="preserve">| Equipos DWDM | 8 unidades | Nodos principales | ✅ Entregados |</w:t>
      </w:r>
      <w:r>
        <w:t xml:space="preserve"> </w:t>
      </w:r>
      <w:r>
        <w:t xml:space="preserve">| Respaldo satelital | 2 unidades | Centro de Control | ✅ Operativo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specificaciones-técnicas-clave"/>
    <w:p>
      <w:pPr>
        <w:pStyle w:val="Heading2"/>
      </w:pPr>
      <w:r>
        <w:t xml:space="preserve">📐 ESPECIFICACIONES TÉCNICAS CLAVE</w:t>
      </w:r>
    </w:p>
    <w:bookmarkStart w:id="29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IEEE 802.3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Altura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metros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29"/>
    <w:bookmarkStart w:id="30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Cobertura 100% del corredor</w:t>
      </w:r>
    </w:p>
    <w:p>
      <w:pPr>
        <w:pStyle w:val="Compact"/>
        <w:numPr>
          <w:ilvl w:val="0"/>
          <w:numId w:val="1003"/>
        </w:numPr>
      </w:pPr>
      <w:r>
        <w:t xml:space="preserve">✅ Disponibilidad 99.95% para GSM-R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ANE</w:t>
      </w:r>
    </w:p>
    <w:p>
      <w:pPr>
        <w:pStyle w:val="Compact"/>
        <w:numPr>
          <w:ilvl w:val="0"/>
          <w:numId w:val="1003"/>
        </w:numPr>
      </w:pPr>
      <w:r>
        <w:t xml:space="preserve">✅ Interoperabilidad con FENOCO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ubicación-y-despliegue"/>
    <w:p>
      <w:pPr>
        <w:pStyle w:val="Heading2"/>
      </w:pPr>
      <w:r>
        <w:t xml:space="preserve">📍 UBICACIÓN Y DESPLIEGUE</w:t>
      </w:r>
    </w:p>
    <w:bookmarkStart w:id="32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Las 37 estaciones de telecomunicaciones están ubicadas estratégicamente a lo largo del corredor La Dorada-Chiriguaná, con una separación promedio de 16 km entre estaciones para garantizar cobertura continua.</w:t>
      </w:r>
    </w:p>
    <w:bookmarkEnd w:id="32"/>
    <w:bookmarkStart w:id="33" w:name="Xb8d9136679de7e88f5fcff61daf9437fc1ce24c"/>
    <w:p>
      <w:pPr>
        <w:pStyle w:val="Heading3"/>
      </w:pPr>
      <w:r>
        <w:t xml:space="preserve">Ubicaciones Específicas por PK (Punto Kilométrico)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0"/>
        <w:gridCol w:w="1405"/>
        <w:gridCol w:w="1660"/>
        <w:gridCol w:w="1788"/>
        <w:gridCol w:w="1532"/>
        <w:gridCol w:w="10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5.8°N, 74.5°W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6.3°N, 74.2°W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6.8°N, 73.9°W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7.4°N, 73.4°W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</w:tbl>
    <w:bookmarkEnd w:id="33"/>
    <w:bookmarkStart w:id="34" w:name="requerimientos-eléctricos-por-estación"/>
    <w:p>
      <w:pPr>
        <w:pStyle w:val="Heading3"/>
      </w:pPr>
      <w:r>
        <w:t xml:space="preserve">Requerimientos Eléctricos por Estación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Iluminación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Auxiliares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POR ESTACIÓN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8.0 kW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UPS 2 horas</w:t>
            </w:r>
          </w:p>
        </w:tc>
      </w:tr>
    </w:tbl>
    <w:bookmarkEnd w:id="34"/>
    <w:bookmarkStart w:id="35" w:name="alimentación-eléctrica-total"/>
    <w:p>
      <w:pPr>
        <w:pStyle w:val="Heading3"/>
      </w:pPr>
      <w:r>
        <w:t xml:space="preserve">Alimentación Eléctrica Total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Potencia total:</w:t>
      </w:r>
      <w:r>
        <w:t xml:space="preserve"> </w:t>
      </w:r>
      <w:r>
        <w:t xml:space="preserve">37 estaciones × 8.0 kW =</w:t>
      </w:r>
      <w:r>
        <w:t xml:space="preserve"> </w:t>
      </w:r>
      <w:r>
        <w:rPr>
          <w:b/>
          <w:bCs/>
        </w:rPr>
        <w:t xml:space="preserve">296 kW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 de alimentación:</w:t>
      </w:r>
      <w:r>
        <w:t xml:space="preserve"> </w:t>
      </w:r>
      <w:r>
        <w:t xml:space="preserve">220V AC trifásica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Respaldo:</w:t>
      </w:r>
      <w:r>
        <w:t xml:space="preserve"> </w:t>
      </w:r>
      <w:r>
        <w:t xml:space="preserve">UPS 2 horas + generador de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Fuente primaria:</w:t>
      </w:r>
      <w:r>
        <w:t xml:space="preserve"> </w:t>
      </w:r>
      <w:r>
        <w:t xml:space="preserve">Red eléctrica local (cada estación)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 secundario:</w:t>
      </w:r>
      <w:r>
        <w:t xml:space="preserve"> </w:t>
      </w:r>
      <w:r>
        <w:t xml:space="preserve">Generadores diésel 10 kW por estación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comunicación continua entre el Centro de Control y todas las locomotoras, con monitoreo automático de la calidad de señal y disponibilidad.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equipos y calidad de señal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y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limpieza de antenas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de Tráfico] ←→ [Telecomunicaciones]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[Centro de Control]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Tráfico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7" w:name="supuestos-técnicos-y-limitaciones"/>
    <w:p>
      <w:pPr>
        <w:pStyle w:val="Heading2"/>
      </w:pPr>
      <w:r>
        <w:t xml:space="preserve">📋 SUPUESTOS TÉCNICOS Y LIMITACIONES</w:t>
      </w:r>
    </w:p>
    <w:bookmarkStart w:id="44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Radio de 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km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estaciones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Solapamiento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entre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discontinua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garantizada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Separación cajas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300m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cajas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normas UIT-T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Altura efectiva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 sobre terreno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cobertura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de seguridad +5m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Doble anillo fibra</w:t>
            </w:r>
          </w:p>
        </w:tc>
      </w:tr>
    </w:tbl>
    <w:bookmarkEnd w:id="44"/>
    <w:bookmarkStart w:id="45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Cobertura puede reducirse en zonas montañosas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Interferencias:</w:t>
      </w:r>
      <w:r>
        <w:t xml:space="preserve"> </w:t>
      </w:r>
      <w:r>
        <w:t xml:space="preserve">Coordinación con ANE requerida para espectro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Tormentas eléctricas pueden afectar disponibilidad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Vandalismo:</w:t>
      </w:r>
      <w:r>
        <w:t xml:space="preserve"> </w:t>
      </w:r>
      <w:r>
        <w:t xml:space="preserve">Torres remotas susceptibles a daños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limitado en zonas de difícil acceso</w:t>
      </w:r>
    </w:p>
    <w:bookmarkEnd w:id="45"/>
    <w:bookmarkStart w:id="46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ANE:</w:t>
      </w:r>
      <w:r>
        <w:t xml:space="preserve"> </w:t>
      </w:r>
      <w:r>
        <w:t xml:space="preserve">Autorización de espectro radioeléctrico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FENOCO:</w:t>
      </w:r>
      <w:r>
        <w:t xml:space="preserve"> </w:t>
      </w:r>
      <w:r>
        <w:t xml:space="preserve">Coordinación de interferencias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Suministro de equipos TETRA/GSM-R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Constructoras:</w:t>
      </w:r>
      <w:r>
        <w:t xml:space="preserve"> </w:t>
      </w:r>
      <w:r>
        <w:t xml:space="preserve">Construcción de torres y fibra óptica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Predial:</w:t>
      </w:r>
      <w:r>
        <w:t xml:space="preserve"> </w:t>
      </w:r>
      <w:r>
        <w:t xml:space="preserve">Adquisición de 37 predios para torres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Interferencias de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con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satelital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Ataques cibernéticos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en capas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1" w:name="cumplimiento-contractual"/>
    <w:p>
      <w:pPr>
        <w:pStyle w:val="Heading2"/>
      </w:pPr>
      <w:r>
        <w:t xml:space="preserve">📋 CUMPLIMIENTO CONTRACTUAL</w:t>
      </w:r>
    </w:p>
    <w:bookmarkStart w:id="49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de telecomunicaciones integrales - Cumplida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TETRA + GSM-R + Fibra según estándares - Cumplida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AT5 - Interferencias:</w:t>
      </w:r>
      <w:r>
        <w:t xml:space="preserve"> </w:t>
      </w:r>
      <w:r>
        <w:t xml:space="preserve">Gestión de interferencias con ANE - En progreso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Ubicación de 37 torres colocalizadas - En progreso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Pendiente</w:t>
      </w:r>
    </w:p>
    <w:bookmarkEnd w:id="49"/>
    <w:bookmarkStart w:id="50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telecomunicaciones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TETRA, GSM-R, Fibra óptica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5:</w:t>
      </w:r>
      <w:r>
        <w:t xml:space="preserve"> </w:t>
      </w:r>
      <w:r>
        <w:t xml:space="preserve">Gestión de interferencias - Coordinación con ANE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Ubicación de torres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documentación-de-soporte"/>
    <w:p>
      <w:pPr>
        <w:pStyle w:val="Heading2"/>
      </w:pPr>
      <w:r>
        <w:t xml:space="preserve">📚 DOCUMENTACIÓN DE SOPORTE</w:t>
      </w:r>
    </w:p>
    <w:bookmarkStart w:id="52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SISTEMA_02_Telecomunicaciones_Master.md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27_Sistema_TETRA_Integrado_v5.0.md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28_Sistema_FibraOptica_Integrado_v5.0.md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V.3_Sistemas_Comunicacion_Detalle_v5.0.md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52"/>
    <w:bookmarkStart w:id="53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Telecomunicaciones.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señal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Start w:id="57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SISTEMA_02_Telecomunicaciones_Master.md v1.0</w:t>
      </w:r>
    </w:p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2025-10-09T22:30:58Z</dcterms:created>
  <dcterms:modified xsi:type="dcterms:W3CDTF">2025-10-09T22:30:58Z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