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6-integración-y-coordinación"/>
    <w:p>
      <w:pPr>
        <w:pStyle w:val="Heading1"/>
      </w:pPr>
      <w:r>
        <w:t xml:space="preserve">SISTEMA 06: INTEGRACIÓN Y COORDINACIÓN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Integración y Coordinación es el</w:t>
      </w:r>
      <w:r>
        <w:t xml:space="preserve"> </w:t>
      </w:r>
      <w:r>
        <w:rPr>
          <w:b/>
          <w:bCs/>
        </w:rPr>
        <w:t xml:space="preserve">“director de orquesta”</w:t>
      </w:r>
      <w:r>
        <w:t xml:space="preserve"> </w:t>
      </w:r>
      <w:r>
        <w:t xml:space="preserve">del ferrocarril que coordina y sincroniza todos los sistemas técnicos para que trabajen en armonía. Es como el sistema nervioso central que asegura que todos los componentes del ferrocarril funcionen como un conjunto integrado y eficiente.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CTC-ITCS (FFFIS), TETRA-GSM-R, ITS-Seguridad, Material Rodante-ATP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 de interoperabilidad:</w:t>
      </w:r>
      <w:r>
        <w:t xml:space="preserve"> </w:t>
      </w:r>
      <w:r>
        <w:t xml:space="preserve">UIC 920-2, UIC 438, UIC 930, UIC 950, FFFIS, EN 50159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 de integración:</w:t>
      </w:r>
      <w:r>
        <w:t xml:space="preserve"> </w:t>
      </w:r>
      <w:r>
        <w:t xml:space="preserve">Comunicación entre sistemas y 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Gateway de integración:</w:t>
      </w:r>
      <w:r>
        <w:t xml:space="preserve"> </w:t>
      </w:r>
      <w:r>
        <w:t xml:space="preserve">Conversión de protocolos entre sistemas y red nacional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Cronograma de integración:</w:t>
      </w:r>
      <w:r>
        <w:t xml:space="preserve"> </w:t>
      </w:r>
      <w:r>
        <w:t xml:space="preserve">9 meses por fases (civil-eléctrica-mecánica-sistemas)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 integración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para operación)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20ae83a0295937f8e7c6f46a10faf6cee53dd80"/>
    <w:p>
      <w:pPr>
        <w:pStyle w:val="Heading3"/>
      </w:pPr>
      <w:r>
        <w:t xml:space="preserve">¿Por qué 25 interfaces críticas específicamente?</w:t>
      </w:r>
    </w:p>
    <w:p>
      <w:pPr>
        <w:pStyle w:val="FirstParagraph"/>
      </w:pPr>
      <w:r>
        <w:rPr>
          <w:b/>
          <w:bCs/>
        </w:rPr>
        <w:t xml:space="preserve">Desglose de Interfaces por Sistema:</w:t>
      </w:r>
      <w:r>
        <w:t xml:space="preserve"> </w:t>
      </w:r>
      <w:r>
        <w:t xml:space="preserve">| Sistema | Interfaces | Justificación |</w:t>
      </w:r>
      <w:r>
        <w:t xml:space="preserve"> </w:t>
      </w:r>
      <w:r>
        <w:t xml:space="preserve">|:——–|:———–|:————–|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CTC-ITCS</w:t>
      </w:r>
      <w:r>
        <w:t xml:space="preserve"> </w:t>
      </w:r>
      <w:r>
        <w:t xml:space="preserve">| 5 interfaces | Control automático de trenes (FFFIS)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TETRA-GSM-R</w:t>
      </w:r>
      <w:r>
        <w:t xml:space="preserve"> </w:t>
      </w:r>
      <w:r>
        <w:t xml:space="preserve">| 4 interfaces | Comunicaciones redundantes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ITS-Seguridad</w:t>
      </w:r>
      <w:r>
        <w:t xml:space="preserve"> </w:t>
      </w:r>
      <w:r>
        <w:t xml:space="preserve">| 3 interfaces | Monitoreo y control de seguridad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Rodante-ATP</w:t>
      </w:r>
      <w:r>
        <w:t xml:space="preserve"> </w:t>
      </w:r>
      <w:r>
        <w:t xml:space="preserve">| 4 interfaces | Control embarcado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6 interfaces | Coordinación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FENOCO</w:t>
      </w:r>
      <w:r>
        <w:t xml:space="preserve"> </w:t>
      </w:r>
      <w:r>
        <w:t xml:space="preserve">| 3 interfaces | Interoperabilidad nacional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25 interfaces críticas para operación integrada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| Protocolo | Función | Justificación |</w:t>
      </w:r>
      <w:r>
        <w:t xml:space="preserve"> </w:t>
      </w:r>
      <w:r>
        <w:t xml:space="preserve">|:———-|:——–|:————–|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920-2</w:t>
      </w:r>
      <w:r>
        <w:t xml:space="preserve"> </w:t>
      </w:r>
      <w:r>
        <w:t xml:space="preserve">| Comunicaciones GSM-R | Estándar internacional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438</w:t>
      </w:r>
      <w:r>
        <w:t xml:space="preserve"> </w:t>
      </w:r>
      <w:r>
        <w:t xml:space="preserve">| Señalización ferroviaria | Compatibilidad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930</w:t>
      </w:r>
      <w:r>
        <w:t xml:space="preserve"> </w:t>
      </w:r>
      <w:r>
        <w:t xml:space="preserve">| Sistemas de señalización | Interoperabilidad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950</w:t>
      </w:r>
      <w:r>
        <w:t xml:space="preserve"> </w:t>
      </w:r>
      <w:r>
        <w:t xml:space="preserve">| Control de tráfico | Coordinación entre centros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FFFIS</w:t>
      </w:r>
      <w:r>
        <w:t xml:space="preserve"> </w:t>
      </w:r>
      <w:r>
        <w:t xml:space="preserve">| Interfaces CTC-ITCS | Especificación de interfaces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EN 50159</w:t>
      </w:r>
      <w:r>
        <w:t xml:space="preserve"> </w:t>
      </w:r>
      <w:r>
        <w:t xml:space="preserve">| Seguridad comunicaciones | Seguridad funcional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15 protocolos para interoperabilidad completa</w:t>
      </w:r>
    </w:p>
    <w:bookmarkEnd w:id="15"/>
    <w:bookmarkStart w:id="16" w:name="por-qué-12-apis-de-integración"/>
    <w:p>
      <w:pPr>
        <w:pStyle w:val="Heading3"/>
      </w:pPr>
      <w:r>
        <w:t xml:space="preserve">¿Por qué 12 APIs de integración?</w:t>
      </w:r>
    </w:p>
    <w:p>
      <w:pPr>
        <w:pStyle w:val="FirstParagraph"/>
      </w:pPr>
      <w:r>
        <w:rPr>
          <w:b/>
          <w:bCs/>
        </w:rPr>
        <w:t xml:space="preserve">Justificación de APIs: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FENOCO:</w:t>
      </w:r>
      <w:r>
        <w:t xml:space="preserve"> </w:t>
      </w:r>
      <w:r>
        <w:t xml:space="preserve">Interoperabilidad con red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CTC:</w:t>
      </w:r>
      <w:r>
        <w:t xml:space="preserve"> </w:t>
      </w:r>
      <w:r>
        <w:t xml:space="preserve">Control de tráfico centralizado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ITS:</w:t>
      </w:r>
      <w:r>
        <w:t xml:space="preserve"> </w:t>
      </w:r>
      <w:r>
        <w:t xml:space="preserve">Sistemas inteligentes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Seguridad:</w:t>
      </w:r>
      <w:r>
        <w:t xml:space="preserve"> </w:t>
      </w:r>
      <w:r>
        <w:t xml:space="preserve">Sistemas de seguridad integrados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Material Rodante:</w:t>
      </w:r>
      <w:r>
        <w:t xml:space="preserve"> </w:t>
      </w:r>
      <w:r>
        <w:t xml:space="preserve">Control embarcado</w:t>
      </w:r>
    </w:p>
    <w:bookmarkEnd w:id="16"/>
    <w:bookmarkStart w:id="17" w:name="por-qué-gateway-de-integración"/>
    <w:p>
      <w:pPr>
        <w:pStyle w:val="Heading3"/>
      </w:pPr>
      <w:r>
        <w:t xml:space="preserve">¿Por qué Gateway de integración?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Conversión de protocolos:</w:t>
      </w:r>
      <w:r>
        <w:t xml:space="preserve"> </w:t>
      </w:r>
      <w:r>
        <w:t xml:space="preserve">Entre sistemas locales y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Traducción de datos:</w:t>
      </w:r>
      <w:r>
        <w:t xml:space="preserve"> </w:t>
      </w:r>
      <w:r>
        <w:t xml:space="preserve">Formatos compatibles entre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Autenticación y cifrado de 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de interfaces críticas</w:t>
      </w:r>
    </w:p>
    <w:bookmarkEnd w:id="17"/>
    <w:bookmarkStart w:id="18" w:name="por-qué-cronograma-de-9-meses-por-fases"/>
    <w:p>
      <w:pPr>
        <w:pStyle w:val="Heading3"/>
      </w:pPr>
      <w:r>
        <w:t xml:space="preserve">¿Por qué cronograma de 9 meses por fases?</w:t>
      </w:r>
    </w:p>
    <w:p>
      <w:pPr>
        <w:pStyle w:val="FirstParagraph"/>
      </w:pPr>
      <w:r>
        <w:rPr>
          <w:b/>
          <w:bCs/>
        </w:rPr>
        <w:t xml:space="preserve">Justificación de Fases: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Civil-Eléctrica</w:t>
      </w:r>
      <w:r>
        <w:t xml:space="preserve"> </w:t>
      </w:r>
      <w:r>
        <w:t xml:space="preserve">| 2 meses | Base física y alimentación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Eléctrica-Mecánica</w:t>
      </w:r>
      <w:r>
        <w:t xml:space="preserve"> </w:t>
      </w:r>
      <w:r>
        <w:t xml:space="preserve">| 2 meses | Sistemas de potencia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Mecánica-Sistemas</w:t>
      </w:r>
      <w:r>
        <w:t xml:space="preserve"> </w:t>
      </w:r>
      <w:r>
        <w:t xml:space="preserve">| 1 mes | Integración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Datos</w:t>
      </w:r>
      <w:r>
        <w:t xml:space="preserve"> </w:t>
      </w:r>
      <w:r>
        <w:t xml:space="preserve">| 1 mes | Comunicaciones y datos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Monitoreo</w:t>
      </w:r>
      <w:r>
        <w:t xml:space="preserve"> </w:t>
      </w:r>
      <w:r>
        <w:t xml:space="preserve">| 1 mes | Sistemas de supervisión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</w:t>
      </w:r>
      <w:r>
        <w:t xml:space="preserve"> </w:t>
      </w:r>
      <w:r>
        <w:t xml:space="preserve">| 1 mes | Control centralizado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Pruebas</w:t>
      </w:r>
      <w:r>
        <w:t xml:space="preserve"> </w:t>
      </w:r>
      <w:r>
        <w:t xml:space="preserve">| 1 mes | Validación completa |</w:t>
      </w:r>
    </w:p>
    <w:bookmarkEnd w:id="18"/>
    <w:bookmarkStart w:id="19" w:name="por-qué-interoperabilidad-con-fenoco"/>
    <w:p>
      <w:pPr>
        <w:pStyle w:val="Heading3"/>
      </w:pPr>
      <w:r>
        <w:t xml:space="preserve">¿Por qué interoperabilidad con FENOCO?</w:t>
      </w:r>
    </w:p>
    <w:p>
      <w:pPr>
        <w:pStyle w:val="FirstParagraph"/>
      </w:pPr>
      <w:r>
        <w:rPr>
          <w:b/>
          <w:bCs/>
        </w:rPr>
        <w:t xml:space="preserve">Justificación Contractual (Cl13.1):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ferroviaria nacional:</w:t>
      </w:r>
      <w:r>
        <w:t xml:space="preserve"> </w:t>
      </w:r>
      <w:r>
        <w:t xml:space="preserve">Continuidad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 operativa:</w:t>
      </w:r>
      <w:r>
        <w:t xml:space="preserve"> </w:t>
      </w:r>
      <w:r>
        <w:t xml:space="preserve">Material rodante dual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 UIC:</w:t>
      </w:r>
      <w:r>
        <w:t xml:space="preserve"> </w:t>
      </w:r>
      <w:r>
        <w:t xml:space="preserve">Estándares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integrada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recursos nacionales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Fallo afecta operación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Dependencias:</w:t>
      </w:r>
      <w:r>
        <w:t xml:space="preserve"> </w:t>
      </w:r>
      <w:r>
        <w:t xml:space="preserve">Múltiples sistemas dependen de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Sistemas de respaldo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continua de interfaces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Integración y Coordinación proporciona</w:t>
      </w:r>
      <w:r>
        <w:t xml:space="preserve"> </w:t>
      </w:r>
      <w:r>
        <w:rPr>
          <w:b/>
          <w:bCs/>
        </w:rPr>
        <w:t xml:space="preserve">coordinación integral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Interfaces de programación para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de dependencias y sincronización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Coordinación entre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Simplificación de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Facilidad para futuras expansiones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interfaces-entre-sistemas---comunicación"/>
    <w:p>
      <w:pPr>
        <w:pStyle w:val="Heading3"/>
      </w:pPr>
      <w:r>
        <w:t xml:space="preserve">1. Interfaces entre Sistemas - Comunicación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bidireccional entre todos los sistemas técnicos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Interfaces CTC-Telecom | 5 unidades | Protocolo FFFIS | ⏳ En desarrollo |</w:t>
      </w:r>
      <w:r>
        <w:t xml:space="preserve"> </w:t>
      </w:r>
      <w:r>
        <w:t xml:space="preserve">| Interfaces CTC-ITS | 3 unidades | Protocolo IEC 61850 | ⏳ En desarrollo |</w:t>
      </w:r>
      <w:r>
        <w:t xml:space="preserve"> </w:t>
      </w:r>
      <w:r>
        <w:t xml:space="preserve">| Interfaces CTC-Material | 2 unidades | Protocolo UIC | ⏳ En desarrollo |</w:t>
      </w:r>
      <w:r>
        <w:t xml:space="preserve"> </w:t>
      </w:r>
      <w:r>
        <w:t xml:space="preserve">| Interfaces Telecom-ITS | 4 unidades | Protocolo TETRA | ⏳ En desarrollo |</w:t>
      </w:r>
      <w:r>
        <w:t xml:space="preserve"> </w:t>
      </w:r>
      <w:r>
        <w:t xml:space="preserve">| Interfaces Material-Infraestructura | 6 unidades | Protocolo CAN Bus | ⏳ En desarrollo |</w:t>
      </w:r>
      <w:r>
        <w:t xml:space="preserve"> </w:t>
      </w:r>
      <w:r>
        <w:t xml:space="preserve">| Interfaces Sistemas Externos | 5 unidades | Protocolos estándar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protocolos-de-comunicación---estándares"/>
    <w:p>
      <w:pPr>
        <w:pStyle w:val="Heading3"/>
      </w:pPr>
      <w:r>
        <w:t xml:space="preserve">2. Protocolos de Comunicación - Estándares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Estándares de comunicación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Protocolo FFFIS | 1 unidad | Comunicación CTC-ITCS | ✅ Disponible |</w:t>
      </w:r>
      <w:r>
        <w:t xml:space="preserve"> </w:t>
      </w:r>
      <w:r>
        <w:t xml:space="preserve">| Protocolo UIC | 1 unidad | Comunicación ferroviaria | ✅ Disponible |</w:t>
      </w:r>
      <w:r>
        <w:t xml:space="preserve"> </w:t>
      </w:r>
      <w:r>
        <w:t xml:space="preserve">| Protocolo IEC 61850 | 1 unidad | Comunicación eléctrica | ✅ Disponible |</w:t>
      </w:r>
      <w:r>
        <w:t xml:space="preserve"> </w:t>
      </w:r>
      <w:r>
        <w:t xml:space="preserve">| Protocolo TETRA | 1 unidad | Comunicación radio | ✅ Disponible |</w:t>
      </w:r>
      <w:r>
        <w:t xml:space="preserve"> </w:t>
      </w:r>
      <w:r>
        <w:t xml:space="preserve">| Protocolo GSM-R | 1 unidad | Comunicación móvil | ✅ Disponible |</w:t>
      </w:r>
      <w:r>
        <w:t xml:space="preserve"> </w:t>
      </w:r>
      <w:r>
        <w:t xml:space="preserve">| Protocolo CAN Bus | 1 unidad | Comunicación embarcada | ✅ Disponible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apis-de-integración---programación"/>
    <w:p>
      <w:pPr>
        <w:pStyle w:val="Heading3"/>
      </w:pPr>
      <w:r>
        <w:t xml:space="preserve">3. APIs de Integración - Programación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Interfaces de programación para integración de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API Control y Señalización | 1 unidad | REST API | ⏳ En desarrollo |</w:t>
      </w:r>
      <w:r>
        <w:t xml:space="preserve"> </w:t>
      </w:r>
      <w:r>
        <w:t xml:space="preserve">| API Telecomunicaciones | 1 unidad | REST API | ⏳ En desarrollo |</w:t>
      </w:r>
      <w:r>
        <w:t xml:space="preserve"> </w:t>
      </w:r>
      <w:r>
        <w:t xml:space="preserve">| API ITS y Seguridad | 1 unidad | REST API | ⏳ En desarrollo |</w:t>
      </w:r>
      <w:r>
        <w:t xml:space="preserve"> </w:t>
      </w:r>
      <w:r>
        <w:t xml:space="preserve">| API Material Rodante | 1 unidad | REST API | ⏳ En desarrollo |</w:t>
      </w:r>
      <w:r>
        <w:t xml:space="preserve"> </w:t>
      </w:r>
      <w:r>
        <w:t xml:space="preserve">| API Infraestructura | 1 unidad | REST API | ⏳ En desarrollo |</w:t>
      </w:r>
      <w:r>
        <w:t xml:space="preserve"> </w:t>
      </w:r>
      <w:r>
        <w:t xml:space="preserve">| API Sistemas Externos | 1 unidad | REST API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sistemas-de-coordinación---gestión"/>
    <w:p>
      <w:pPr>
        <w:pStyle w:val="Heading3"/>
      </w:pPr>
      <w:r>
        <w:t xml:space="preserve">4. Sistemas de Coordinación - Gestión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gestión de dependencias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Gestor de dependencias | 1 unidad | Sistema centralizado | ⏳ En desarrollo |</w:t>
      </w:r>
      <w:r>
        <w:t xml:space="preserve"> </w:t>
      </w:r>
      <w:r>
        <w:t xml:space="preserve">| Coordinador de eventos | 1 unidad | Gestión de eventos | ⏳ En desarrollo |</w:t>
      </w:r>
      <w:r>
        <w:t xml:space="preserve"> </w:t>
      </w:r>
      <w:r>
        <w:t xml:space="preserve">| Sincronizador de sistemas | 1 unidad | Sincronización temporal | ⏳ En desarrollo |</w:t>
      </w:r>
      <w:r>
        <w:t xml:space="preserve"> </w:t>
      </w:r>
      <w:r>
        <w:t xml:space="preserve">| Monitor de integridad | 1 unidad | Monitoreo de interfaces | ⏳ En desarrollo |</w:t>
      </w:r>
      <w:r>
        <w:t xml:space="preserve"> </w:t>
      </w:r>
      <w:r>
        <w:t xml:space="preserve">| Gestor de configuración | 1 unidad | Configuración centralizada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 de banda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Latencia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operativas entre sistemas</w:t>
      </w:r>
    </w:p>
    <w:p>
      <w:pPr>
        <w:pStyle w:val="Compact"/>
        <w:numPr>
          <w:ilvl w:val="0"/>
          <w:numId w:val="1003"/>
        </w:numPr>
      </w:pPr>
      <w:r>
        <w:t xml:space="preserve">✅ 15 protocolos de comunicación implementados</w:t>
      </w:r>
    </w:p>
    <w:p>
      <w:pPr>
        <w:pStyle w:val="Compact"/>
        <w:numPr>
          <w:ilvl w:val="0"/>
          <w:numId w:val="1003"/>
        </w:numPr>
      </w:pPr>
      <w:r>
        <w:t xml:space="preserve">✅ 12 APIs de integración funcionales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coordinación</w:t>
      </w:r>
    </w:p>
    <w:p>
      <w:pPr>
        <w:pStyle w:val="Compact"/>
        <w:numPr>
          <w:ilvl w:val="0"/>
          <w:numId w:val="1003"/>
        </w:numPr>
      </w:pPr>
      <w:r>
        <w:t xml:space="preserve">✅ Tiempo de respuesta &lt; 100ms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de integración y coordinación se despliega centralmente en el CCO La Dorada, con componentes distribuidos en todas las estaciones y sistemas del corredor.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coordinación, APIs, 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locales,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móviles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de integración y coordinación opera 24/7 proporcionando coordinación continua entre todos los sistemas técnicos, con monitoreo automático de la integridad de las interfaces.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interfaces y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entre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Actualización de protocolos y APIs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 de coordinación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interfaces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sincronización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sincronización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Integración:</w:t>
      </w:r>
      <w:r>
        <w:t xml:space="preserve"> </w:t>
      </w:r>
      <w:r>
        <w:t xml:space="preserve">Integración completa entre sistemas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integrada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integración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SISTEMA_06_Integracion_y_Coordinacion_Master.md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41_Interfaces_Sistemas_MEJORADO.md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Integración y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consolidacion-general"/>
    <w:p>
      <w:pPr>
        <w:pStyle w:val="Heading3"/>
      </w:pPr>
      <w:r>
        <w:t xml:space="preserve">Consolidacion general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06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SISTEMA_06_Integracion_y_Coordinacion_Master.md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2025-10-09T22:31:01Z</dcterms:created>
  <dcterms:modified xsi:type="dcterms:W3CDTF">2025-10-09T22:31:01Z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