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ind w:left="0"/>
      </w:pPr>
      <w:r>
        <w:rPr>
          <w:rFonts w:ascii="Segoe UI" w:hAnsi="Segoe UI"/>
          <w:b/>
          <w:i w:val="0"/>
          <w:color w:val="1F5B99"/>
          <w:sz w:val="20"/>
        </w:rPr>
        <w:t>CONCESIÓN TRANSVERSAL DEL SISGA S.A.S.</w:t>
      </w:r>
    </w:p>
    <w:p>
      <w:pPr>
        <w:spacing w:after="560" w:before="0"/>
        <w:ind w:left="0"/>
      </w:pPr>
      <w:r>
        <w:rPr>
          <w:rFonts w:ascii="Segoe UI" w:hAnsi="Segoe UI"/>
          <w:b w:val="0"/>
          <w:i w:val="0"/>
          <w:color w:val="6E7A86"/>
          <w:sz w:val="20"/>
        </w:rPr>
        <w:t>Sistema de Gestión de Mantenimiento en Campo</w:t>
      </w:r>
    </w:p>
    <w:p>
      <w:pPr>
        <w:spacing w:after="0" w:before="0"/>
        <w:ind w:left="0"/>
      </w:pPr>
      <w:r>
        <w:rPr>
          <w:rFonts w:ascii="Segoe UI" w:hAnsi="Segoe UI"/>
          <w:b/>
          <w:i w:val="0"/>
          <w:color w:val="1C2530"/>
          <w:sz w:val="60"/>
        </w:rPr>
        <w:t>Definición funcional</w:t>
      </w:r>
    </w:p>
    <w:p>
      <w:pPr>
        <w:spacing w:after="360" w:before="0"/>
        <w:ind w:left="0"/>
      </w:pPr>
      <w:r>
        <w:rPr>
          <w:rFonts w:ascii="Segoe UI" w:hAnsi="Segoe UI"/>
          <w:b/>
          <w:i w:val="0"/>
          <w:color w:val="1F5B99"/>
          <w:sz w:val="60"/>
        </w:rPr>
        <w:t>y mesa de trabajo</w:t>
      </w:r>
    </w:p>
    <w:p>
      <w:pPr>
        <w:spacing w:after="600" w:before="0"/>
        <w:ind w:left="0"/>
      </w:pPr>
      <w:r>
        <w:rPr>
          <w:rFonts w:ascii="Segoe UI" w:hAnsi="Segoe UI"/>
          <w:b w:val="0"/>
          <w:i w:val="0"/>
          <w:color w:val="6E7A86"/>
          <w:sz w:val="26"/>
        </w:rPr>
        <w:t>Documento de validación con el líder funcional</w:t>
      </w:r>
    </w:p>
    <w:tbl>
      <w:tblPr>
        <w:tblStyle w:val="TableGrid"/>
        <w:tblW w:type="auto" w:w="0"/>
        <w:jc w:val="center"/>
        <w:tblLook w:firstColumn="1" w:firstRow="1" w:lastColumn="0" w:lastRow="0" w:noHBand="0" w:noVBand="1" w:val="04A0"/>
      </w:tblPr>
      <w:tblGrid>
        <w:gridCol w:w="4873"/>
        <w:gridCol w:w="4873"/>
      </w:tblGrid>
      <w:tr>
        <w:tc>
          <w:tcPr>
            <w:tcW w:type="dxa" w:w="2551"/>
            <w:shd w:val="clear" w:fill="1F5B99"/>
          </w:tcPr>
          <w:p>
            <w:pPr>
              <w:spacing w:after="40" w:before="40"/>
            </w:pPr>
            <w:r>
              <w:rPr>
                <w:rFonts w:ascii="Segoe UI" w:hAnsi="Segoe UI"/>
                <w:b/>
                <w:color w:val="FFFFFF"/>
                <w:sz w:val="20"/>
              </w:rPr>
            </w:r>
          </w:p>
        </w:tc>
        <w:tc>
          <w:tcPr>
            <w:tcW w:type="dxa" w:w="6803"/>
            <w:shd w:val="clear" w:fill="1F5B99"/>
          </w:tcPr>
          <w:p>
            <w:pPr>
              <w:spacing w:after="40" w:before="40"/>
            </w:pPr>
            <w:r>
              <w:rPr>
                <w:rFonts w:ascii="Segoe UI" w:hAnsi="Segoe UI"/>
                <w:b/>
                <w:color w:val="FFFFFF"/>
                <w:sz w:val="20"/>
              </w:rPr>
            </w:r>
          </w:p>
        </w:tc>
      </w:tr>
      <w:tr>
        <w:tc>
          <w:tcPr>
            <w:tcW w:type="dxa" w:w="2551"/>
          </w:tcPr>
          <w:p>
            <w:pPr>
              <w:spacing w:after="40" w:before="40"/>
            </w:pPr>
            <w:r>
              <w:rPr>
                <w:rFonts w:ascii="Segoe UI" w:hAnsi="Segoe UI"/>
                <w:color w:val="1C2530"/>
                <w:sz w:val="20"/>
              </w:rPr>
              <w:t>Dirigido a</w:t>
            </w:r>
          </w:p>
        </w:tc>
        <w:tc>
          <w:tcPr>
            <w:tcW w:type="dxa" w:w="6803"/>
          </w:tcPr>
          <w:p>
            <w:pPr>
              <w:spacing w:after="40" w:before="40"/>
            </w:pPr>
            <w:r>
              <w:rPr>
                <w:rFonts w:ascii="Segoe UI" w:hAnsi="Segoe UI"/>
                <w:color w:val="1C2530"/>
                <w:sz w:val="20"/>
              </w:rPr>
              <w:t>Líder funcional y equipo de Operaciones / ITS</w:t>
            </w:r>
          </w:p>
        </w:tc>
      </w:tr>
      <w:tr>
        <w:tc>
          <w:tcPr>
            <w:tcW w:type="dxa" w:w="2551"/>
            <w:shd w:val="clear" w:fill="F4F6F8"/>
          </w:tcPr>
          <w:p>
            <w:pPr>
              <w:spacing w:after="40" w:before="40"/>
            </w:pPr>
            <w:r>
              <w:rPr>
                <w:rFonts w:ascii="Segoe UI" w:hAnsi="Segoe UI"/>
                <w:color w:val="1C2530"/>
                <w:sz w:val="20"/>
              </w:rPr>
              <w:t>Elaborado por</w:t>
            </w:r>
          </w:p>
        </w:tc>
        <w:tc>
          <w:tcPr>
            <w:tcW w:type="dxa" w:w="6803"/>
            <w:shd w:val="clear" w:fill="F4F6F8"/>
          </w:tcPr>
          <w:p>
            <w:pPr>
              <w:spacing w:after="40" w:before="40"/>
            </w:pPr>
            <w:r>
              <w:rPr>
                <w:rFonts w:ascii="Segoe UI" w:hAnsi="Segoe UI"/>
                <w:color w:val="1C2530"/>
                <w:sz w:val="20"/>
              </w:rPr>
              <w:t>Equipo técnico del SGMC</w:t>
            </w:r>
          </w:p>
        </w:tc>
      </w:tr>
      <w:tr>
        <w:tc>
          <w:tcPr>
            <w:tcW w:type="dxa" w:w="2551"/>
          </w:tcPr>
          <w:p>
            <w:pPr>
              <w:spacing w:after="40" w:before="40"/>
            </w:pPr>
            <w:r>
              <w:rPr>
                <w:rFonts w:ascii="Segoe UI" w:hAnsi="Segoe UI"/>
                <w:color w:val="1C2530"/>
                <w:sz w:val="20"/>
              </w:rPr>
              <w:t>Fecha</w:t>
            </w:r>
          </w:p>
        </w:tc>
        <w:tc>
          <w:tcPr>
            <w:tcW w:type="dxa" w:w="6803"/>
          </w:tcPr>
          <w:p>
            <w:pPr>
              <w:spacing w:after="40" w:before="40"/>
            </w:pPr>
            <w:r>
              <w:rPr>
                <w:rFonts w:ascii="Segoe UI" w:hAnsi="Segoe UI"/>
                <w:color w:val="1C2530"/>
                <w:sz w:val="20"/>
              </w:rPr>
              <w:t>6 de agosto de 2026</w:t>
            </w:r>
          </w:p>
        </w:tc>
      </w:tr>
      <w:tr>
        <w:tc>
          <w:tcPr>
            <w:tcW w:type="dxa" w:w="2551"/>
            <w:shd w:val="clear" w:fill="F4F6F8"/>
          </w:tcPr>
          <w:p>
            <w:pPr>
              <w:spacing w:after="40" w:before="40"/>
            </w:pPr>
            <w:r>
              <w:rPr>
                <w:rFonts w:ascii="Segoe UI" w:hAnsi="Segoe UI"/>
                <w:color w:val="1C2530"/>
                <w:sz w:val="20"/>
              </w:rPr>
              <w:t>Versión</w:t>
            </w:r>
          </w:p>
        </w:tc>
        <w:tc>
          <w:tcPr>
            <w:tcW w:type="dxa" w:w="6803"/>
            <w:shd w:val="clear" w:fill="F4F6F8"/>
          </w:tcPr>
          <w:p>
            <w:pPr>
              <w:spacing w:after="40" w:before="40"/>
            </w:pPr>
            <w:r>
              <w:rPr>
                <w:rFonts w:ascii="Segoe UI" w:hAnsi="Segoe UI"/>
                <w:color w:val="1C2530"/>
                <w:sz w:val="20"/>
              </w:rPr>
              <w:t>1.0</w:t>
            </w:r>
          </w:p>
        </w:tc>
      </w:tr>
      <w:tr>
        <w:tc>
          <w:tcPr>
            <w:tcW w:type="dxa" w:w="2551"/>
          </w:tcPr>
          <w:p>
            <w:pPr>
              <w:spacing w:after="40" w:before="40"/>
            </w:pPr>
            <w:r>
              <w:rPr>
                <w:rFonts w:ascii="Segoe UI" w:hAnsi="Segoe UI"/>
                <w:color w:val="1C2530"/>
                <w:sz w:val="20"/>
              </w:rPr>
              <w:t>Estado del proyecto</w:t>
            </w:r>
          </w:p>
        </w:tc>
        <w:tc>
          <w:tcPr>
            <w:tcW w:type="dxa" w:w="6803"/>
          </w:tcPr>
          <w:p>
            <w:pPr>
              <w:spacing w:after="40" w:before="40"/>
            </w:pPr>
            <w:r>
              <w:rPr>
                <w:rFonts w:ascii="Segoe UI" w:hAnsi="Segoe UI"/>
                <w:color w:val="1C2530"/>
                <w:sz w:val="20"/>
              </w:rPr>
              <w:t>Sprint 0. Definición funcional en validación</w:t>
            </w:r>
          </w:p>
        </w:tc>
      </w:tr>
      <w:tr>
        <w:tc>
          <w:tcPr>
            <w:tcW w:type="dxa" w:w="2551"/>
            <w:shd w:val="clear" w:fill="F4F6F8"/>
          </w:tcPr>
          <w:p>
            <w:pPr>
              <w:spacing w:after="40" w:before="40"/>
            </w:pPr>
            <w:r>
              <w:rPr>
                <w:rFonts w:ascii="Segoe UI" w:hAnsi="Segoe UI"/>
                <w:color w:val="1C2530"/>
                <w:sz w:val="20"/>
              </w:rPr>
              <w:t>Documento previo</w:t>
            </w:r>
          </w:p>
        </w:tc>
        <w:tc>
          <w:tcPr>
            <w:tcW w:type="dxa" w:w="6803"/>
            <w:shd w:val="clear" w:fill="F4F6F8"/>
          </w:tcPr>
          <w:p>
            <w:pPr>
              <w:spacing w:after="40" w:before="40"/>
            </w:pPr>
            <w:r>
              <w:rPr>
                <w:rFonts w:ascii="Segoe UI" w:hAnsi="Segoe UI"/>
                <w:color w:val="1C2530"/>
                <w:sz w:val="20"/>
              </w:rPr>
              <w:t>Plan de Implementación del SGMC sobre Google AppSheet, julio de 2026</w:t>
            </w:r>
          </w:p>
        </w:tc>
      </w:tr>
      <w:tr>
        <w:tc>
          <w:tcPr>
            <w:tcW w:type="dxa" w:w="2551"/>
          </w:tcPr>
          <w:p>
            <w:pPr>
              <w:spacing w:after="40" w:before="40"/>
            </w:pPr>
            <w:r>
              <w:rPr>
                <w:rFonts w:ascii="Segoe UI" w:hAnsi="Segoe UI"/>
                <w:color w:val="1C2530"/>
                <w:sz w:val="20"/>
              </w:rPr>
              <w:t>Qué se espera</w:t>
            </w:r>
          </w:p>
        </w:tc>
        <w:tc>
          <w:tcPr>
            <w:tcW w:type="dxa" w:w="6803"/>
          </w:tcPr>
          <w:p>
            <w:pPr>
              <w:spacing w:after="40" w:before="40"/>
            </w:pPr>
            <w:r>
              <w:rPr>
                <w:rFonts w:ascii="Segoe UI" w:hAnsi="Segoe UI"/>
                <w:color w:val="1C2530"/>
                <w:sz w:val="20"/>
              </w:rPr>
              <w:t>Respuestas a 14 decisiones y acta firmada</w:t>
            </w:r>
          </w:p>
        </w:tc>
      </w:tr>
    </w:tbl>
    <w:p>
      <w:pPr>
        <w:spacing w:after="0"/>
      </w:pPr>
    </w:p>
    <w:p>
      <w:pPr>
        <w:spacing w:after="360" w:before="0"/>
        <w:ind w:left="0"/>
      </w:pPr>
    </w:p>
    <w:tbl>
      <w:tblPr>
        <w:tblW w:type="auto" w:w="0"/>
        <w:jc w:val="center"/>
        <w:tblLook w:firstColumn="1" w:firstRow="1" w:lastColumn="0" w:lastRow="0" w:noHBand="0" w:noVBand="1" w:val="04A0"/>
      </w:tblPr>
      <w:tblGrid>
        <w:gridCol w:w="9746"/>
      </w:tblGrid>
      <w:tr>
        <w:tc>
          <w:tcPr>
            <w:tcW w:type="dxa" w:w="9746"/>
            <w:shd w:val="clear" w:fill="FDF3DE"/>
            <w:tcBorders>
              <w:left w:val="single" w:sz="18" w:color="B0700C"/>
            </w:tcBorders>
          </w:tcPr>
          <w:p>
            <w:pPr>
              <w:spacing w:before="120" w:after="120"/>
            </w:pPr>
            <w:r/>
            <w:r>
              <w:rPr>
                <w:rFonts w:ascii="Segoe UI" w:hAnsi="Segoe UI"/>
                <w:b/>
                <w:color w:val="B0700C"/>
                <w:sz w:val="20"/>
              </w:rPr>
              <w:t xml:space="preserve">Este documento requiere su respuesta.  </w:t>
            </w:r>
            <w:r>
              <w:rPr>
                <w:rFonts w:ascii="Segoe UI" w:hAnsi="Segoe UI"/>
                <w:color w:val="1C2530"/>
                <w:sz w:val="20"/>
              </w:rPr>
              <w:t>No es un informe de avance ni una solicitud de aprobación. Es un cuestionario estructurado: catorce decisiones que hoy bloquean el proyecto y que solo el área funcional puede tomar. Cada decisión tiene una casilla para que escriba directamente sobre este archivo y lo devuelva.</w:t>
            </w:r>
          </w:p>
        </w:tc>
      </w:tr>
    </w:tbl>
    <w:p>
      <w:pPr>
        <w:spacing w:after="0"/>
      </w:pPr>
    </w:p>
    <w:p>
      <w:r>
        <w:br w:type="page"/>
      </w:r>
    </w:p>
    <w:p>
      <w:pPr>
        <w:keepNext/>
        <w:spacing w:before="360" w:after="120"/>
      </w:pPr>
      <w:r>
        <w:rPr>
          <w:rFonts w:ascii="Segoe UI" w:hAnsi="Segoe UI"/>
          <w:b/>
          <w:color w:val="1C2530"/>
          <w:sz w:val="32"/>
        </w:rPr>
        <w:t>Cómo usar este documento</w:t>
      </w:r>
    </w:p>
    <w:p>
      <w:pPr>
        <w:spacing w:after="120" w:before="0"/>
        <w:ind w:left="0"/>
      </w:pPr>
      <w:r>
        <w:rPr>
          <w:rFonts w:ascii="Segoe UI" w:hAnsi="Segoe UI"/>
          <w:b w:val="0"/>
          <w:i w:val="0"/>
          <w:color w:val="1C2530"/>
          <w:sz w:val="21"/>
        </w:rPr>
        <w:t>Está organizado en tres partes que conviene recorrer en orden:</w:t>
      </w:r>
    </w:p>
    <w:p>
      <w:pPr>
        <w:pStyle w:val="ListBullet"/>
        <w:spacing w:after="60"/>
        <w:ind w:left="454"/>
      </w:pPr>
      <w:r>
        <w:rPr>
          <w:rFonts w:ascii="Segoe UI" w:hAnsi="Segoe UI"/>
          <w:color w:val="1C2530"/>
          <w:sz w:val="21"/>
        </w:rPr>
        <w:t>Las secciones 1 a 4 describen cómo entendemos hoy que debe funcionar el sistema, expresado como flujos de uso verificables. Léalas para confirmar o corregir.</w:t>
      </w:r>
    </w:p>
    <w:p>
      <w:pPr>
        <w:pStyle w:val="ListBullet"/>
        <w:spacing w:after="60"/>
        <w:ind w:left="454"/>
      </w:pPr>
      <w:r>
        <w:rPr>
          <w:rFonts w:ascii="Segoe UI" w:hAnsi="Segoe UI"/>
          <w:color w:val="1C2530"/>
          <w:sz w:val="21"/>
        </w:rPr>
        <w:t>La sección 5 es el cuestionario. Cada punto sigue el mismo molde: qué encontramos, por qué importa, qué proponemos y qué necesitamos que responda. Debajo de cada uno hay una casilla de respuesta.</w:t>
      </w:r>
    </w:p>
    <w:p>
      <w:pPr>
        <w:pStyle w:val="ListBullet"/>
        <w:spacing w:after="60"/>
        <w:ind w:left="454"/>
      </w:pPr>
      <w:r>
        <w:rPr>
          <w:rFonts w:ascii="Segoe UI" w:hAnsi="Segoe UI"/>
          <w:color w:val="1C2530"/>
          <w:sz w:val="21"/>
        </w:rPr>
        <w:t>Las secciones 6 y 7 muestran cómo sus respuestas se convierten en trabajo y en fecha, y recogen el acta de la sesión.</w:t>
      </w:r>
    </w:p>
    <w:p>
      <w:pPr>
        <w:spacing w:after="80" w:before="0"/>
        <w:ind w:left="0"/>
      </w:pPr>
    </w:p>
    <w:p>
      <w:pPr>
        <w:spacing w:after="120" w:before="0"/>
        <w:ind w:left="0"/>
      </w:pPr>
      <w:r>
        <w:rPr>
          <w:rFonts w:ascii="Segoe UI" w:hAnsi="Segoe UI"/>
          <w:b w:val="0"/>
          <w:i w:val="0"/>
          <w:color w:val="1C2530"/>
          <w:sz w:val="21"/>
        </w:rPr>
        <w:t>Sugerencia de mesa: dos sesiones de dos horas. La primera recorre las secciones 1 a 4 y valida los flujos. La segunda resuelve el cuestionario decisión por decisión. Lo que no se decida queda con el supuesto que está declarado en cada punto, y ese supuesto se vuelve vinculante para la implementación.</w:t>
      </w:r>
    </w:p>
    <w:p>
      <w:pPr>
        <w:keepNext/>
        <w:spacing w:before="360" w:after="120"/>
      </w:pPr>
      <w:r>
        <w:rPr>
          <w:rFonts w:ascii="Segoe UI" w:hAnsi="Segoe UI"/>
          <w:b/>
          <w:color w:val="1C2530"/>
          <w:sz w:val="32"/>
        </w:rPr>
        <w:t>1. Por qué volvemos a la definición funcional</w:t>
      </w:r>
    </w:p>
    <w:p>
      <w:pPr>
        <w:spacing w:after="120" w:before="0"/>
        <w:ind w:left="0"/>
      </w:pPr>
      <w:r>
        <w:rPr>
          <w:rFonts w:ascii="Segoe UI" w:hAnsi="Segoe UI"/>
          <w:b w:val="0"/>
          <w:i w:val="0"/>
          <w:color w:val="1C2530"/>
          <w:sz w:val="21"/>
        </w:rPr>
        <w:t>El SGMC se planteó en julio de 2026 como un producto mínimo viable de 8 días sobre Google AppSheet, a partir de una especificación de requerimientos y un formulario de levantamiento diligenciado el 25 de julio. Se construyó, y hoy existe una aplicación publicada con un modelo de datos de 24 tablas, 34 activos catalogados y órdenes de trabajo registradas.</w:t>
      </w:r>
    </w:p>
    <w:p>
      <w:pPr>
        <w:spacing w:after="120" w:before="0"/>
        <w:ind w:left="0"/>
      </w:pPr>
      <w:r>
        <w:rPr>
          <w:rFonts w:ascii="Segoe UI" w:hAnsi="Segoe UI"/>
          <w:b w:val="0"/>
          <w:i w:val="0"/>
          <w:color w:val="1C2530"/>
          <w:sz w:val="21"/>
        </w:rPr>
        <w:t>En el camino el alcance mutó. El modelo pasó de 17 a 24 tablas, aparecieron dos maneras distintas de definir los formularios de inspección, y las fotografías y firmas quedaron modeladas por duplicado. Ninguna de esas mutaciones pasó por una validación funcional.</w:t>
      </w:r>
    </w:p>
    <w:p>
      <w:pPr>
        <w:spacing w:after="120" w:before="0"/>
        <w:ind w:left="0"/>
      </w:pPr>
      <w:r>
        <w:rPr>
          <w:rFonts w:ascii="Segoe UI" w:hAnsi="Segoe UI"/>
          <w:b w:val="0"/>
          <w:i w:val="0"/>
          <w:color w:val="1C2530"/>
          <w:sz w:val="21"/>
        </w:rPr>
        <w:t>Una auditoría del 6 de agosto de 2026 verificó ocho hallazgos bloqueantes leyendo directamente el archivo de producción. Al revisarlos uno a uno aparece un patrón que explica este documento:</w:t>
      </w:r>
    </w:p>
    <w:tbl>
      <w:tblPr>
        <w:tblW w:type="auto" w:w="0"/>
        <w:jc w:val="center"/>
        <w:tblLook w:firstColumn="1" w:firstRow="1" w:lastColumn="0" w:lastRow="0" w:noHBand="0" w:noVBand="1" w:val="04A0"/>
      </w:tblPr>
      <w:tblGrid>
        <w:gridCol w:w="9746"/>
      </w:tblGrid>
      <w:tr>
        <w:tc>
          <w:tcPr>
            <w:tcW w:type="dxa" w:w="9746"/>
            <w:shd w:val="clear" w:fill="E2ECF6"/>
            <w:tcBorders>
              <w:left w:val="single" w:sz="18" w:color="1F5B99"/>
            </w:tcBorders>
          </w:tcPr>
          <w:p>
            <w:pPr>
              <w:spacing w:before="120" w:after="120"/>
            </w:pPr>
            <w:r/>
            <w:r>
              <w:rPr>
                <w:rFonts w:ascii="Segoe UI" w:hAnsi="Segoe UI"/>
                <w:color w:val="1C2530"/>
                <w:sz w:val="20"/>
              </w:rPr>
              <w:t>La mayoría de los bloqueantes no son errores de programación. Son preguntas de negocio que nadie respondió. No se puede configurar el filtro de seguridad sin saber si la sede de un activo es la unidad funcional o el peaje. No se puede cerrar el requerimiento de evidencia fotográfica sin saber cuántas fotos exige realmente una inspección.</w:t>
            </w:r>
          </w:p>
        </w:tc>
      </w:tr>
    </w:tbl>
    <w:p>
      <w:pPr>
        <w:spacing w:after="0"/>
      </w:pPr>
    </w:p>
    <w:p>
      <w:pPr>
        <w:spacing w:after="120" w:before="120"/>
        <w:ind w:left="0"/>
      </w:pPr>
      <w:r>
        <w:rPr>
          <w:rFonts w:ascii="Segoe UI" w:hAnsi="Segoe UI"/>
          <w:b w:val="0"/>
          <w:i w:val="0"/>
          <w:color w:val="1C2530"/>
          <w:sz w:val="21"/>
        </w:rPr>
        <w:t>Por eso el paso siguiente no es seguir construyendo. Es definir, validar con usted, y recién entonces ejecutar.</w:t>
      </w:r>
    </w:p>
    <w:p>
      <w:pPr>
        <w:keepNext/>
        <w:spacing w:before="360" w:after="120"/>
      </w:pPr>
      <w:r>
        <w:rPr>
          <w:rFonts w:ascii="Segoe UI" w:hAnsi="Segoe UI"/>
          <w:b/>
          <w:color w:val="1C2530"/>
          <w:sz w:val="32"/>
        </w:rPr>
        <w:t>2. Qué encontramos</w:t>
      </w:r>
    </w:p>
    <w:p>
      <w:pPr>
        <w:spacing w:after="120" w:before="0"/>
        <w:ind w:left="0"/>
      </w:pPr>
      <w:r>
        <w:rPr>
          <w:rFonts w:ascii="Segoe UI" w:hAnsi="Segoe UI"/>
          <w:b w:val="0"/>
          <w:i w:val="0"/>
          <w:color w:val="1C2530"/>
          <w:sz w:val="21"/>
        </w:rPr>
        <w:t>Verificado el 6 de agosto de 2026 leyendo el archivo maestro de producción. Lo que está construido y funcionando: el modelo de 24 tablas, los catálogos poblados con 34 activos y sus códigos QR, 18 tipos de activo, 10 sedes, 11 usuarios, 6 órdenes de trabajo, un checklist de inspección con su detalle, el banco de preguntas del formulario de postes SOS y la aplicación publicada con sus vistas móviles y web.</w:t>
      </w:r>
    </w:p>
    <w:p>
      <w:pPr>
        <w:spacing w:after="120" w:before="0"/>
        <w:ind w:left="0"/>
      </w:pPr>
      <w:r>
        <w:rPr>
          <w:rFonts w:ascii="Segoe UI" w:hAnsi="Segoe UI"/>
          <w:b w:val="0"/>
          <w:i w:val="0"/>
          <w:color w:val="1C2530"/>
          <w:sz w:val="21"/>
        </w:rPr>
        <w:t>Lo que está abierto:</w:t>
      </w:r>
    </w:p>
    <w:tbl>
      <w:tblPr>
        <w:tblStyle w:val="TableGrid"/>
        <w:tblW w:type="auto" w:w="0"/>
        <w:jc w:val="center"/>
        <w:tblLook w:firstColumn="1" w:firstRow="1" w:lastColumn="0" w:lastRow="0" w:noHBand="0" w:noVBand="1" w:val="04A0"/>
      </w:tblPr>
      <w:tblGrid>
        <w:gridCol w:w="3249"/>
        <w:gridCol w:w="3249"/>
        <w:gridCol w:w="3249"/>
      </w:tblGrid>
      <w:tr>
        <w:tc>
          <w:tcPr>
            <w:tcW w:type="dxa" w:w="907"/>
            <w:shd w:val="clear" w:fill="1F5B99"/>
          </w:tcPr>
          <w:p>
            <w:pPr>
              <w:spacing w:after="40" w:before="40"/>
            </w:pPr>
            <w:r>
              <w:rPr>
                <w:rFonts w:ascii="Segoe UI" w:hAnsi="Segoe UI"/>
                <w:b/>
                <w:color w:val="FFFFFF"/>
                <w:sz w:val="19"/>
              </w:rPr>
              <w:t>#</w:t>
            </w:r>
          </w:p>
        </w:tc>
        <w:tc>
          <w:tcPr>
            <w:tcW w:type="dxa" w:w="6463"/>
            <w:shd w:val="clear" w:fill="1F5B99"/>
          </w:tcPr>
          <w:p>
            <w:pPr>
              <w:spacing w:after="40" w:before="40"/>
            </w:pPr>
            <w:r>
              <w:rPr>
                <w:rFonts w:ascii="Segoe UI" w:hAnsi="Segoe UI"/>
                <w:b/>
                <w:color w:val="FFFFFF"/>
                <w:sz w:val="19"/>
              </w:rPr>
              <w:t>Hallazgo</w:t>
            </w:r>
          </w:p>
        </w:tc>
        <w:tc>
          <w:tcPr>
            <w:tcW w:type="dxa" w:w="1984"/>
            <w:shd w:val="clear" w:fill="1F5B99"/>
          </w:tcPr>
          <w:p>
            <w:pPr>
              <w:spacing w:after="40" w:before="40"/>
            </w:pPr>
            <w:r>
              <w:rPr>
                <w:rFonts w:ascii="Segoe UI" w:hAnsi="Segoe UI"/>
                <w:b/>
                <w:color w:val="FFFFFF"/>
                <w:sz w:val="19"/>
              </w:rPr>
              <w:t>Decisión asociada</w:t>
            </w:r>
          </w:p>
        </w:tc>
      </w:tr>
      <w:tr>
        <w:tc>
          <w:tcPr>
            <w:tcW w:type="dxa" w:w="907"/>
          </w:tcPr>
          <w:p>
            <w:pPr>
              <w:spacing w:after="40" w:before="40"/>
            </w:pPr>
            <w:r>
              <w:rPr>
                <w:rFonts w:ascii="Segoe UI" w:hAnsi="Segoe UI"/>
                <w:color w:val="1C2530"/>
                <w:sz w:val="19"/>
              </w:rPr>
              <w:t>B-01</w:t>
            </w:r>
          </w:p>
        </w:tc>
        <w:tc>
          <w:tcPr>
            <w:tcW w:type="dxa" w:w="6463"/>
          </w:tcPr>
          <w:p>
            <w:pPr>
              <w:spacing w:after="40" w:before="40"/>
            </w:pPr>
            <w:r>
              <w:rPr>
                <w:rFonts w:ascii="Segoe UI" w:hAnsi="Segoe UI"/>
                <w:color w:val="1C2530"/>
                <w:sz w:val="19"/>
              </w:rPr>
              <w:t>Los 34 activos comparten una sola coordenada, situada en Bogotá y no en el corredor. El control GPS es inoperante hasta levantar las coordenadas reales</w:t>
            </w:r>
          </w:p>
        </w:tc>
        <w:tc>
          <w:tcPr>
            <w:tcW w:type="dxa" w:w="1984"/>
          </w:tcPr>
          <w:p>
            <w:pPr>
              <w:spacing w:after="40" w:before="40"/>
            </w:pPr>
            <w:r>
              <w:rPr>
                <w:rFonts w:ascii="Segoe UI" w:hAnsi="Segoe UI"/>
                <w:color w:val="1C2530"/>
                <w:sz w:val="19"/>
              </w:rPr>
              <w:t>D-01</w:t>
            </w:r>
          </w:p>
        </w:tc>
      </w:tr>
      <w:tr>
        <w:tc>
          <w:tcPr>
            <w:tcW w:type="dxa" w:w="907"/>
            <w:shd w:val="clear" w:fill="F4F6F8"/>
          </w:tcPr>
          <w:p>
            <w:pPr>
              <w:spacing w:after="40" w:before="40"/>
            </w:pPr>
            <w:r>
              <w:rPr>
                <w:rFonts w:ascii="Segoe UI" w:hAnsi="Segoe UI"/>
                <w:color w:val="1C2530"/>
                <w:sz w:val="19"/>
              </w:rPr>
              <w:t>B-02</w:t>
            </w:r>
          </w:p>
        </w:tc>
        <w:tc>
          <w:tcPr>
            <w:tcW w:type="dxa" w:w="6463"/>
            <w:shd w:val="clear" w:fill="F4F6F8"/>
          </w:tcPr>
          <w:p>
            <w:pPr>
              <w:spacing w:after="40" w:before="40"/>
            </w:pPr>
            <w:r>
              <w:rPr>
                <w:rFonts w:ascii="Segoe UI" w:hAnsi="Segoe UI"/>
                <w:color w:val="1C2530"/>
                <w:sz w:val="19"/>
              </w:rPr>
              <w:t>La columna que conecta cada tipo de activo con su formulario está vacía en los 18 tipos: la asignación automática de checklist no tiene mapeo</w:t>
            </w:r>
          </w:p>
        </w:tc>
        <w:tc>
          <w:tcPr>
            <w:tcW w:type="dxa" w:w="1984"/>
            <w:shd w:val="clear" w:fill="F4F6F8"/>
          </w:tcPr>
          <w:p>
            <w:pPr>
              <w:spacing w:after="40" w:before="40"/>
            </w:pPr>
            <w:r>
              <w:rPr>
                <w:rFonts w:ascii="Segoe UI" w:hAnsi="Segoe UI"/>
                <w:color w:val="1C2530"/>
                <w:sz w:val="19"/>
              </w:rPr>
              <w:t>D-09</w:t>
            </w:r>
          </w:p>
        </w:tc>
      </w:tr>
      <w:tr>
        <w:tc>
          <w:tcPr>
            <w:tcW w:type="dxa" w:w="907"/>
          </w:tcPr>
          <w:p>
            <w:pPr>
              <w:spacing w:after="40" w:before="40"/>
            </w:pPr>
            <w:r>
              <w:rPr>
                <w:rFonts w:ascii="Segoe UI" w:hAnsi="Segoe UI"/>
                <w:color w:val="1C2530"/>
                <w:sz w:val="19"/>
              </w:rPr>
              <w:t>B-03</w:t>
            </w:r>
          </w:p>
        </w:tc>
        <w:tc>
          <w:tcPr>
            <w:tcW w:type="dxa" w:w="6463"/>
          </w:tcPr>
          <w:p>
            <w:pPr>
              <w:spacing w:after="40" w:before="40"/>
            </w:pPr>
            <w:r>
              <w:rPr>
                <w:rFonts w:ascii="Segoe UI" w:hAnsi="Segoe UI"/>
                <w:color w:val="1C2530"/>
                <w:sz w:val="19"/>
              </w:rPr>
              <w:t>Todos los usuarios están en la sede 1 y todos los activos en las sedes 7 a 10. El filtro de seguridad dejaría a cada técnico sin activos</w:t>
            </w:r>
          </w:p>
        </w:tc>
        <w:tc>
          <w:tcPr>
            <w:tcW w:type="dxa" w:w="1984"/>
          </w:tcPr>
          <w:p>
            <w:pPr>
              <w:spacing w:after="40" w:before="40"/>
            </w:pPr>
            <w:r>
              <w:rPr>
                <w:rFonts w:ascii="Segoe UI" w:hAnsi="Segoe UI"/>
                <w:color w:val="1C2530"/>
                <w:sz w:val="19"/>
              </w:rPr>
              <w:t>D-03</w:t>
            </w:r>
          </w:p>
        </w:tc>
      </w:tr>
      <w:tr>
        <w:tc>
          <w:tcPr>
            <w:tcW w:type="dxa" w:w="907"/>
            <w:shd w:val="clear" w:fill="F4F6F8"/>
          </w:tcPr>
          <w:p>
            <w:pPr>
              <w:spacing w:after="40" w:before="40"/>
            </w:pPr>
            <w:r>
              <w:rPr>
                <w:rFonts w:ascii="Segoe UI" w:hAnsi="Segoe UI"/>
                <w:color w:val="1C2530"/>
                <w:sz w:val="19"/>
              </w:rPr>
              <w:t>B-04</w:t>
            </w:r>
          </w:p>
        </w:tc>
        <w:tc>
          <w:tcPr>
            <w:tcW w:type="dxa" w:w="6463"/>
            <w:shd w:val="clear" w:fill="F4F6F8"/>
          </w:tcPr>
          <w:p>
            <w:pPr>
              <w:spacing w:after="40" w:before="40"/>
            </w:pPr>
            <w:r>
              <w:rPr>
                <w:rFonts w:ascii="Segoe UI" w:hAnsi="Segoe UI"/>
                <w:color w:val="1C2530"/>
                <w:sz w:val="19"/>
              </w:rPr>
              <w:t>Solo 1 de 18 formularios tiene su banco de preguntas construido</w:t>
            </w:r>
          </w:p>
        </w:tc>
        <w:tc>
          <w:tcPr>
            <w:tcW w:type="dxa" w:w="1984"/>
            <w:shd w:val="clear" w:fill="F4F6F8"/>
          </w:tcPr>
          <w:p>
            <w:pPr>
              <w:spacing w:after="40" w:before="40"/>
            </w:pPr>
            <w:r>
              <w:rPr>
                <w:rFonts w:ascii="Segoe UI" w:hAnsi="Segoe UI"/>
                <w:color w:val="1C2530"/>
                <w:sz w:val="19"/>
              </w:rPr>
              <w:t>D-09</w:t>
            </w:r>
          </w:p>
        </w:tc>
      </w:tr>
      <w:tr>
        <w:tc>
          <w:tcPr>
            <w:tcW w:type="dxa" w:w="907"/>
          </w:tcPr>
          <w:p>
            <w:pPr>
              <w:spacing w:after="40" w:before="40"/>
            </w:pPr>
            <w:r>
              <w:rPr>
                <w:rFonts w:ascii="Segoe UI" w:hAnsi="Segoe UI"/>
                <w:color w:val="1C2530"/>
                <w:sz w:val="19"/>
              </w:rPr>
              <w:t>B-05</w:t>
            </w:r>
          </w:p>
        </w:tc>
        <w:tc>
          <w:tcPr>
            <w:tcW w:type="dxa" w:w="6463"/>
          </w:tcPr>
          <w:p>
            <w:pPr>
              <w:spacing w:after="40" w:before="40"/>
            </w:pPr>
            <w:r>
              <w:rPr>
                <w:rFonts w:ascii="Segoe UI" w:hAnsi="Segoe UI"/>
                <w:color w:val="1C2530"/>
                <w:sz w:val="19"/>
              </w:rPr>
              <w:t>El único checklist existente referencia una orden de trabajo que no existe</w:t>
            </w:r>
          </w:p>
        </w:tc>
        <w:tc>
          <w:tcPr>
            <w:tcW w:type="dxa" w:w="1984"/>
          </w:tcPr>
          <w:p>
            <w:pPr>
              <w:spacing w:after="40" w:before="40"/>
            </w:pPr>
            <w:r>
              <w:rPr>
                <w:rFonts w:ascii="Segoe UI" w:hAnsi="Segoe UI"/>
                <w:color w:val="1C2530"/>
                <w:sz w:val="19"/>
              </w:rPr>
              <w:t>D-06</w:t>
            </w:r>
          </w:p>
        </w:tc>
      </w:tr>
      <w:tr>
        <w:tc>
          <w:tcPr>
            <w:tcW w:type="dxa" w:w="907"/>
            <w:shd w:val="clear" w:fill="F4F6F8"/>
          </w:tcPr>
          <w:p>
            <w:pPr>
              <w:spacing w:after="40" w:before="40"/>
            </w:pPr>
            <w:r>
              <w:rPr>
                <w:rFonts w:ascii="Segoe UI" w:hAnsi="Segoe UI"/>
                <w:color w:val="1C2530"/>
                <w:sz w:val="19"/>
              </w:rPr>
              <w:t>B-06</w:t>
            </w:r>
          </w:p>
        </w:tc>
        <w:tc>
          <w:tcPr>
            <w:tcW w:type="dxa" w:w="6463"/>
            <w:shd w:val="clear" w:fill="F4F6F8"/>
          </w:tcPr>
          <w:p>
            <w:pPr>
              <w:spacing w:after="40" w:before="40"/>
            </w:pPr>
            <w:r>
              <w:rPr>
                <w:rFonts w:ascii="Segoe UI" w:hAnsi="Segoe UI"/>
                <w:color w:val="1C2530"/>
                <w:sz w:val="19"/>
              </w:rPr>
              <w:t>Fotografías, firmas y posición GPS están modelados dos veces: campos dentro del mantenimiento y tablas separadas vacías</w:t>
            </w:r>
          </w:p>
        </w:tc>
        <w:tc>
          <w:tcPr>
            <w:tcW w:type="dxa" w:w="1984"/>
            <w:shd w:val="clear" w:fill="F4F6F8"/>
          </w:tcPr>
          <w:p>
            <w:pPr>
              <w:spacing w:after="40" w:before="40"/>
            </w:pPr>
            <w:r>
              <w:rPr>
                <w:rFonts w:ascii="Segoe UI" w:hAnsi="Segoe UI"/>
                <w:color w:val="1C2530"/>
                <w:sz w:val="19"/>
              </w:rPr>
              <w:t>D-10</w:t>
            </w:r>
          </w:p>
        </w:tc>
      </w:tr>
      <w:tr>
        <w:tc>
          <w:tcPr>
            <w:tcW w:type="dxa" w:w="907"/>
          </w:tcPr>
          <w:p>
            <w:pPr>
              <w:spacing w:after="40" w:before="40"/>
            </w:pPr>
            <w:r>
              <w:rPr>
                <w:rFonts w:ascii="Segoe UI" w:hAnsi="Segoe UI"/>
                <w:color w:val="1C2530"/>
                <w:sz w:val="19"/>
              </w:rPr>
              <w:t>B-07</w:t>
            </w:r>
          </w:p>
        </w:tc>
        <w:tc>
          <w:tcPr>
            <w:tcW w:type="dxa" w:w="6463"/>
          </w:tcPr>
          <w:p>
            <w:pPr>
              <w:spacing w:after="40" w:before="40"/>
            </w:pPr>
            <w:r>
              <w:rPr>
                <w:rFonts w:ascii="Segoe UI" w:hAnsi="Segoe UI"/>
                <w:color w:val="1C2530"/>
                <w:sz w:val="19"/>
              </w:rPr>
              <w:t>La tabla de mantenimientos está vacía: ningún mantenimiento se ha ejecutado nunca de extremo a extremo</w:t>
            </w:r>
          </w:p>
        </w:tc>
        <w:tc>
          <w:tcPr>
            <w:tcW w:type="dxa" w:w="1984"/>
          </w:tcPr>
          <w:p>
            <w:pPr>
              <w:spacing w:after="40" w:before="40"/>
            </w:pPr>
            <w:r>
              <w:rPr>
                <w:rFonts w:ascii="Segoe UI" w:hAnsi="Segoe UI"/>
                <w:color w:val="1C2530"/>
                <w:sz w:val="19"/>
              </w:rPr>
              <w:t>Todas</w:t>
            </w:r>
          </w:p>
        </w:tc>
      </w:tr>
      <w:tr>
        <w:tc>
          <w:tcPr>
            <w:tcW w:type="dxa" w:w="907"/>
            <w:shd w:val="clear" w:fill="F4F6F8"/>
          </w:tcPr>
          <w:p>
            <w:pPr>
              <w:spacing w:after="40" w:before="40"/>
            </w:pPr>
            <w:r>
              <w:rPr>
                <w:rFonts w:ascii="Segoe UI" w:hAnsi="Segoe UI"/>
                <w:color w:val="1C2530"/>
                <w:sz w:val="19"/>
              </w:rPr>
              <w:t>B-08</w:t>
            </w:r>
          </w:p>
        </w:tc>
        <w:tc>
          <w:tcPr>
            <w:tcW w:type="dxa" w:w="6463"/>
            <w:shd w:val="clear" w:fill="F4F6F8"/>
          </w:tcPr>
          <w:p>
            <w:pPr>
              <w:spacing w:after="40" w:before="40"/>
            </w:pPr>
            <w:r>
              <w:rPr>
                <w:rFonts w:ascii="Segoe UI" w:hAnsi="Segoe UI"/>
                <w:color w:val="1C2530"/>
                <w:sz w:val="19"/>
              </w:rPr>
              <w:t>El detalle de checklist guarda las preguntas como texto libre, sin trazabilidad al banco de preguntas</w:t>
            </w:r>
          </w:p>
        </w:tc>
        <w:tc>
          <w:tcPr>
            <w:tcW w:type="dxa" w:w="1984"/>
            <w:shd w:val="clear" w:fill="F4F6F8"/>
          </w:tcPr>
          <w:p>
            <w:pPr>
              <w:spacing w:after="40" w:before="40"/>
            </w:pPr>
            <w:r>
              <w:rPr>
                <w:rFonts w:ascii="Segoe UI" w:hAnsi="Segoe UI"/>
                <w:color w:val="1C2530"/>
                <w:sz w:val="19"/>
              </w:rPr>
              <w:t>D-11</w:t>
            </w:r>
          </w:p>
        </w:tc>
      </w:tr>
    </w:tbl>
    <w:p>
      <w:pPr>
        <w:spacing w:after="0"/>
      </w:pPr>
    </w:p>
    <w:p>
      <w:pPr>
        <w:spacing w:after="120" w:before="120"/>
        <w:ind w:left="0"/>
      </w:pPr>
      <w:r>
        <w:rPr>
          <w:rFonts w:ascii="Segoe UI" w:hAnsi="Segoe UI"/>
          <w:b w:val="0"/>
          <w:i w:val="0"/>
          <w:color w:val="1C2530"/>
          <w:sz w:val="21"/>
        </w:rPr>
        <w:t>El hallazgo B-01 merece verse en detalle, porque es el que invalida la promesa central del sistema.</w:t>
      </w:r>
    </w:p>
    <w:p>
      <w:pPr>
        <w:spacing w:before="160" w:after="60"/>
        <w:jc w:val="center"/>
      </w:pPr>
      <w:r>
        <w:drawing>
          <wp:inline xmlns:a="http://schemas.openxmlformats.org/drawingml/2006/main" xmlns:pic="http://schemas.openxmlformats.org/drawingml/2006/picture">
            <wp:extent cx="5940000" cy="2554200"/>
            <wp:docPr id="1" name="Picture 1"/>
            <wp:cNvGraphicFramePr>
              <a:graphicFrameLocks noChangeAspect="1"/>
            </wp:cNvGraphicFramePr>
            <a:graphic>
              <a:graphicData uri="http://schemas.openxmlformats.org/drawingml/2006/picture">
                <pic:pic>
                  <pic:nvPicPr>
                    <pic:cNvPr id="0" name="fig_03_coordenadas.png"/>
                    <pic:cNvPicPr/>
                  </pic:nvPicPr>
                  <pic:blipFill>
                    <a:blip r:embed="rId10"/>
                    <a:stretch>
                      <a:fillRect/>
                    </a:stretch>
                  </pic:blipFill>
                  <pic:spPr>
                    <a:xfrm>
                      <a:off x="0" y="0"/>
                      <a:ext cx="5940000" cy="2554200"/>
                    </a:xfrm>
                    <a:prstGeom prst="rect"/>
                  </pic:spPr>
                </pic:pic>
              </a:graphicData>
            </a:graphic>
          </wp:inline>
        </w:drawing>
      </w:r>
    </w:p>
    <w:p>
      <w:pPr>
        <w:spacing w:after="240"/>
        <w:jc w:val="center"/>
      </w:pPr>
      <w:r>
        <w:rPr>
          <w:rFonts w:ascii="Segoe UI" w:hAnsi="Segoe UI"/>
          <w:i/>
          <w:color w:val="6E7A86"/>
          <w:sz w:val="17"/>
        </w:rPr>
        <w:t>Figura 3. Los 34 activos tienen registrada la misma coordenada, ubicada en Bogotá y no en el corredor.</w:t>
      </w:r>
    </w:p>
    <w:p>
      <w:r>
        <w:br w:type="page"/>
      </w:r>
    </w:p>
    <w:p>
      <w:pPr>
        <w:keepNext/>
        <w:spacing w:before="360" w:after="120"/>
      </w:pPr>
      <w:r>
        <w:rPr>
          <w:rFonts w:ascii="Segoe UI" w:hAnsi="Segoe UI"/>
          <w:b/>
          <w:color w:val="1C2530"/>
          <w:sz w:val="32"/>
        </w:rPr>
        <w:t>3. Actores y alcance</w:t>
      </w:r>
    </w:p>
    <w:p>
      <w:pPr>
        <w:spacing w:after="120" w:before="0"/>
        <w:ind w:left="0"/>
      </w:pPr>
      <w:r>
        <w:rPr>
          <w:rFonts w:ascii="Segoe UI" w:hAnsi="Segoe UI"/>
          <w:b w:val="0"/>
          <w:i w:val="0"/>
          <w:color w:val="1C2530"/>
          <w:sz w:val="21"/>
        </w:rPr>
        <w:t>Cuatro roles operan el sistema. Confirme que la descripción corresponde a la organización real y que no falta ningún actor.</w:t>
      </w:r>
    </w:p>
    <w:p>
      <w:pPr>
        <w:spacing w:before="160" w:after="60"/>
        <w:jc w:val="center"/>
      </w:pPr>
      <w:r>
        <w:drawing>
          <wp:inline xmlns:a="http://schemas.openxmlformats.org/drawingml/2006/main" xmlns:pic="http://schemas.openxmlformats.org/drawingml/2006/picture">
            <wp:extent cx="5940000" cy="2494800"/>
            <wp:docPr id="2" name="Picture 2"/>
            <wp:cNvGraphicFramePr>
              <a:graphicFrameLocks noChangeAspect="1"/>
            </wp:cNvGraphicFramePr>
            <a:graphic>
              <a:graphicData uri="http://schemas.openxmlformats.org/drawingml/2006/picture">
                <pic:pic>
                  <pic:nvPicPr>
                    <pic:cNvPr id="0" name="fig_01_actores.png"/>
                    <pic:cNvPicPr/>
                  </pic:nvPicPr>
                  <pic:blipFill>
                    <a:blip r:embed="rId11"/>
                    <a:stretch>
                      <a:fillRect/>
                    </a:stretch>
                  </pic:blipFill>
                  <pic:spPr>
                    <a:xfrm>
                      <a:off x="0" y="0"/>
                      <a:ext cx="5940000" cy="2494800"/>
                    </a:xfrm>
                    <a:prstGeom prst="rect"/>
                  </pic:spPr>
                </pic:pic>
              </a:graphicData>
            </a:graphic>
          </wp:inline>
        </w:drawing>
      </w:r>
    </w:p>
    <w:p>
      <w:pPr>
        <w:spacing w:after="240"/>
        <w:jc w:val="center"/>
      </w:pPr>
      <w:r>
        <w:rPr>
          <w:rFonts w:ascii="Segoe UI" w:hAnsi="Segoe UI"/>
          <w:i/>
          <w:color w:val="6E7A86"/>
          <w:sz w:val="17"/>
        </w:rPr>
        <w:t>Figura 1. Actores del sistema, ámbito de trabajo y restricción de datos.</w:t>
      </w:r>
    </w:p>
    <w:p>
      <w:pPr>
        <w:keepNext/>
        <w:spacing w:before="280" w:after="120"/>
      </w:pPr>
      <w:r>
        <w:rPr>
          <w:rFonts w:ascii="Segoe UI" w:hAnsi="Segoe UI"/>
          <w:b/>
          <w:color w:val="1C2530"/>
          <w:sz w:val="26"/>
        </w:rPr>
        <w:t>Alcance propuesto para el primer sprint productivo</w:t>
      </w:r>
    </w:p>
    <w:p>
      <w:pPr>
        <w:spacing w:after="120" w:before="0"/>
        <w:ind w:left="0"/>
      </w:pPr>
      <w:r>
        <w:rPr>
          <w:rFonts w:ascii="Segoe UI" w:hAnsi="Segoe UI"/>
          <w:b w:val="0"/>
          <w:i w:val="0"/>
          <w:color w:val="1C2530"/>
          <w:sz w:val="21"/>
        </w:rPr>
        <w:t>Entra: mantenimiento preventivo programado, sobre los tipos de activo que se prioricen, ejecutado por técnico con evidencia fotográfica, firma y validación GPS, con asignación y aprobación por parte del supervisor, y un tablero básico de cumplimiento.</w:t>
      </w:r>
    </w:p>
    <w:p>
      <w:pPr>
        <w:spacing w:after="120" w:before="0"/>
        <w:ind w:left="0"/>
      </w:pPr>
      <w:r>
        <w:rPr>
          <w:rFonts w:ascii="Segoe UI" w:hAnsi="Segoe UI"/>
          <w:b w:val="0"/>
          <w:i w:val="0"/>
          <w:color w:val="1C2530"/>
          <w:sz w:val="21"/>
        </w:rPr>
        <w:t>No entra por ahora, y se confirma en la mesa: mantenimiento correctivo iniciado desde el campo sin orden previa, generación automática de órdenes por frecuencia, integración con Power BI o mesas de ayuda, gestión de repuestos e inventario, y firma de interventoría.</w:t>
      </w:r>
    </w:p>
    <w:p>
      <w:pPr>
        <w:spacing w:after="120" w:before="0"/>
        <w:ind w:left="0"/>
      </w:pPr>
      <w:r>
        <w:rPr>
          <w:rFonts w:ascii="Segoe UI" w:hAnsi="Segoe UI"/>
          <w:b w:val="0"/>
          <w:i/>
          <w:color w:val="6E7A86"/>
          <w:sz w:val="21"/>
        </w:rPr>
        <w:t>Este corte es una propuesta. Las decisiones D-08, D-09 y D-12 lo redefinen.</w:t>
      </w:r>
    </w:p>
    <w:p>
      <w:pPr>
        <w:keepNext/>
        <w:spacing w:before="360" w:after="120"/>
      </w:pPr>
      <w:r>
        <w:rPr>
          <w:rFonts w:ascii="Segoe UI" w:hAnsi="Segoe UI"/>
          <w:b/>
          <w:color w:val="1C2530"/>
          <w:sz w:val="32"/>
        </w:rPr>
        <w:t>4. Flujos funcionales</w:t>
      </w:r>
    </w:p>
    <w:p>
      <w:pPr>
        <w:spacing w:after="120" w:before="0"/>
        <w:ind w:left="0"/>
      </w:pPr>
      <w:r>
        <w:rPr>
          <w:rFonts w:ascii="Segoe UI" w:hAnsi="Segoe UI"/>
          <w:b w:val="0"/>
          <w:i w:val="0"/>
          <w:color w:val="1C2530"/>
          <w:sz w:val="21"/>
        </w:rPr>
        <w:t>Cada flujo se expresa con precondiciones, pasos, excepciones y criterios de aceptación verificables, de modo que sirva a la vez como definición funcional y como base de las pruebas de aceptación de usuario.</w:t>
      </w:r>
    </w:p>
    <w:p>
      <w:pPr>
        <w:keepNext/>
        <w:spacing w:before="280" w:after="120"/>
      </w:pPr>
      <w:r>
        <w:rPr>
          <w:rFonts w:ascii="Segoe UI" w:hAnsi="Segoe UI"/>
          <w:b/>
          <w:color w:val="1F5B99"/>
          <w:sz w:val="26"/>
        </w:rPr>
        <w:t>CU-01. El técnico ejecuta un mantenimiento en campo</w:t>
      </w:r>
    </w:p>
    <w:p>
      <w:pPr>
        <w:spacing w:after="120" w:before="0"/>
        <w:ind w:left="0"/>
      </w:pPr>
      <w:r>
        <w:rPr>
          <w:rFonts w:ascii="Segoe UI" w:hAnsi="Segoe UI"/>
          <w:b w:val="0"/>
          <w:i w:val="0"/>
          <w:color w:val="1C2530"/>
          <w:sz w:val="21"/>
        </w:rPr>
        <w:t>Es el flujo que justifica el sistema. Los pasos marcados en ámbar dependen de una decisión pendiente.</w:t>
      </w:r>
    </w:p>
    <w:p>
      <w:pPr>
        <w:spacing w:before="160" w:after="60"/>
        <w:jc w:val="center"/>
      </w:pPr>
      <w:r>
        <w:drawing>
          <wp:inline xmlns:a="http://schemas.openxmlformats.org/drawingml/2006/main" xmlns:pic="http://schemas.openxmlformats.org/drawingml/2006/picture">
            <wp:extent cx="5940000" cy="3326400"/>
            <wp:docPr id="3" name="Picture 3"/>
            <wp:cNvGraphicFramePr>
              <a:graphicFrameLocks noChangeAspect="1"/>
            </wp:cNvGraphicFramePr>
            <a:graphic>
              <a:graphicData uri="http://schemas.openxmlformats.org/drawingml/2006/picture">
                <pic:pic>
                  <pic:nvPicPr>
                    <pic:cNvPr id="0" name="fig_02_flujo_tecnico.png"/>
                    <pic:cNvPicPr/>
                  </pic:nvPicPr>
                  <pic:blipFill>
                    <a:blip r:embed="rId12"/>
                    <a:stretch>
                      <a:fillRect/>
                    </a:stretch>
                  </pic:blipFill>
                  <pic:spPr>
                    <a:xfrm>
                      <a:off x="0" y="0"/>
                      <a:ext cx="5940000" cy="3326400"/>
                    </a:xfrm>
                    <a:prstGeom prst="rect"/>
                  </pic:spPr>
                </pic:pic>
              </a:graphicData>
            </a:graphic>
          </wp:inline>
        </w:drawing>
      </w:r>
    </w:p>
    <w:p>
      <w:pPr>
        <w:spacing w:after="240"/>
        <w:jc w:val="center"/>
      </w:pPr>
      <w:r>
        <w:rPr>
          <w:rFonts w:ascii="Segoe UI" w:hAnsi="Segoe UI"/>
          <w:i/>
          <w:color w:val="6E7A86"/>
          <w:sz w:val="17"/>
        </w:rPr>
        <w:t>Figura 2. Ciclo del técnico en campo y excepciones sin respuesta definida.</w:t>
      </w:r>
    </w:p>
    <w:p>
      <w:pPr>
        <w:spacing w:after="80" w:before="120"/>
        <w:ind w:left="0"/>
      </w:pPr>
      <w:r>
        <w:rPr>
          <w:rFonts w:ascii="Segoe UI" w:hAnsi="Segoe UI"/>
          <w:b/>
          <w:i w:val="0"/>
          <w:color w:val="1C2530"/>
          <w:sz w:val="21"/>
        </w:rPr>
        <w:t>Criterios de aceptación</w:t>
      </w:r>
    </w:p>
    <w:tbl>
      <w:tblPr>
        <w:tblStyle w:val="TableGrid"/>
        <w:tblW w:type="auto" w:w="0"/>
        <w:jc w:val="center"/>
        <w:tblLook w:firstColumn="1" w:firstRow="1" w:lastColumn="0" w:lastRow="0" w:noHBand="0" w:noVBand="1" w:val="04A0"/>
      </w:tblPr>
      <w:tblGrid>
        <w:gridCol w:w="4873"/>
        <w:gridCol w:w="4873"/>
      </w:tblGrid>
      <w:tr>
        <w:tc>
          <w:tcPr>
            <w:tcW w:type="dxa" w:w="1474"/>
            <w:shd w:val="clear" w:fill="1F5B99"/>
          </w:tcPr>
          <w:p>
            <w:pPr>
              <w:spacing w:after="40" w:before="40"/>
            </w:pPr>
            <w:r>
              <w:rPr>
                <w:rFonts w:ascii="Segoe UI" w:hAnsi="Segoe UI"/>
                <w:b/>
                <w:color w:val="FFFFFF"/>
                <w:sz w:val="19"/>
              </w:rPr>
              <w:t>Código</w:t>
            </w:r>
          </w:p>
        </w:tc>
        <w:tc>
          <w:tcPr>
            <w:tcW w:type="dxa" w:w="7880"/>
            <w:shd w:val="clear" w:fill="1F5B99"/>
          </w:tcPr>
          <w:p>
            <w:pPr>
              <w:spacing w:after="40" w:before="40"/>
            </w:pPr>
            <w:r>
              <w:rPr>
                <w:rFonts w:ascii="Segoe UI" w:hAnsi="Segoe UI"/>
                <w:b/>
                <w:color w:val="FFFFFF"/>
                <w:sz w:val="19"/>
              </w:rPr>
              <w:t>El sistema se considera conforme cuando</w:t>
            </w:r>
          </w:p>
        </w:tc>
      </w:tr>
      <w:tr>
        <w:tc>
          <w:tcPr>
            <w:tcW w:type="dxa" w:w="1474"/>
          </w:tcPr>
          <w:p>
            <w:pPr>
              <w:spacing w:after="40" w:before="40"/>
            </w:pPr>
            <w:r>
              <w:rPr>
                <w:rFonts w:ascii="Segoe UI" w:hAnsi="Segoe UI"/>
                <w:color w:val="1C2530"/>
                <w:sz w:val="19"/>
              </w:rPr>
              <w:t>CA-01.1</w:t>
            </w:r>
          </w:p>
        </w:tc>
        <w:tc>
          <w:tcPr>
            <w:tcW w:type="dxa" w:w="7880"/>
          </w:tcPr>
          <w:p>
            <w:pPr>
              <w:spacing w:after="40" w:before="40"/>
            </w:pPr>
            <w:r>
              <w:rPr>
                <w:rFonts w:ascii="Segoe UI" w:hAnsi="Segoe UI"/>
                <w:color w:val="1C2530"/>
                <w:sz w:val="19"/>
              </w:rPr>
              <w:t>El registro se completa de principio a fin sin señal celular en ningún momento</w:t>
            </w:r>
          </w:p>
        </w:tc>
      </w:tr>
      <w:tr>
        <w:tc>
          <w:tcPr>
            <w:tcW w:type="dxa" w:w="1474"/>
            <w:shd w:val="clear" w:fill="F4F6F8"/>
          </w:tcPr>
          <w:p>
            <w:pPr>
              <w:spacing w:after="40" w:before="40"/>
            </w:pPr>
            <w:r>
              <w:rPr>
                <w:rFonts w:ascii="Segoe UI" w:hAnsi="Segoe UI"/>
                <w:color w:val="1C2530"/>
                <w:sz w:val="19"/>
              </w:rPr>
              <w:t>CA-01.2</w:t>
            </w:r>
          </w:p>
        </w:tc>
        <w:tc>
          <w:tcPr>
            <w:tcW w:type="dxa" w:w="7880"/>
            <w:shd w:val="clear" w:fill="F4F6F8"/>
          </w:tcPr>
          <w:p>
            <w:pPr>
              <w:spacing w:after="40" w:before="40"/>
            </w:pPr>
            <w:r>
              <w:rPr>
                <w:rFonts w:ascii="Segoe UI" w:hAnsi="Segoe UI"/>
                <w:color w:val="1C2530"/>
                <w:sz w:val="19"/>
              </w:rPr>
              <w:t>Al recuperar señal, el registro aparece en el sistema sin acción del técnico</w:t>
            </w:r>
          </w:p>
        </w:tc>
      </w:tr>
      <w:tr>
        <w:tc>
          <w:tcPr>
            <w:tcW w:type="dxa" w:w="1474"/>
          </w:tcPr>
          <w:p>
            <w:pPr>
              <w:spacing w:after="40" w:before="40"/>
            </w:pPr>
            <w:r>
              <w:rPr>
                <w:rFonts w:ascii="Segoe UI" w:hAnsi="Segoe UI"/>
                <w:color w:val="1C2530"/>
                <w:sz w:val="19"/>
              </w:rPr>
              <w:t>CA-01.3</w:t>
            </w:r>
          </w:p>
        </w:tc>
        <w:tc>
          <w:tcPr>
            <w:tcW w:type="dxa" w:w="7880"/>
          </w:tcPr>
          <w:p>
            <w:pPr>
              <w:spacing w:after="40" w:before="40"/>
            </w:pPr>
            <w:r>
              <w:rPr>
                <w:rFonts w:ascii="Segoe UI" w:hAnsi="Segoe UI"/>
                <w:color w:val="1C2530"/>
                <w:sz w:val="19"/>
              </w:rPr>
              <w:t>Estando a más de la distancia definida del activo, el sistema impide guardar</w:t>
            </w:r>
          </w:p>
        </w:tc>
      </w:tr>
      <w:tr>
        <w:tc>
          <w:tcPr>
            <w:tcW w:type="dxa" w:w="1474"/>
            <w:shd w:val="clear" w:fill="F4F6F8"/>
          </w:tcPr>
          <w:p>
            <w:pPr>
              <w:spacing w:after="40" w:before="40"/>
            </w:pPr>
            <w:r>
              <w:rPr>
                <w:rFonts w:ascii="Segoe UI" w:hAnsi="Segoe UI"/>
                <w:color w:val="1C2530"/>
                <w:sz w:val="19"/>
              </w:rPr>
              <w:t>CA-01.4</w:t>
            </w:r>
          </w:p>
        </w:tc>
        <w:tc>
          <w:tcPr>
            <w:tcW w:type="dxa" w:w="7880"/>
            <w:shd w:val="clear" w:fill="F4F6F8"/>
          </w:tcPr>
          <w:p>
            <w:pPr>
              <w:spacing w:after="40" w:before="40"/>
            </w:pPr>
            <w:r>
              <w:rPr>
                <w:rFonts w:ascii="Segoe UI" w:hAnsi="Segoe UI"/>
                <w:color w:val="1C2530"/>
                <w:sz w:val="19"/>
              </w:rPr>
              <w:t>Estando junto al activo, el sistema permite guardar</w:t>
            </w:r>
          </w:p>
        </w:tc>
      </w:tr>
      <w:tr>
        <w:tc>
          <w:tcPr>
            <w:tcW w:type="dxa" w:w="1474"/>
          </w:tcPr>
          <w:p>
            <w:pPr>
              <w:spacing w:after="40" w:before="40"/>
            </w:pPr>
            <w:r>
              <w:rPr>
                <w:rFonts w:ascii="Segoe UI" w:hAnsi="Segoe UI"/>
                <w:color w:val="1C2530"/>
                <w:sz w:val="19"/>
              </w:rPr>
              <w:t>CA-01.5</w:t>
            </w:r>
          </w:p>
        </w:tc>
        <w:tc>
          <w:tcPr>
            <w:tcW w:type="dxa" w:w="7880"/>
          </w:tcPr>
          <w:p>
            <w:pPr>
              <w:spacing w:after="40" w:before="40"/>
            </w:pPr>
            <w:r>
              <w:rPr>
                <w:rFonts w:ascii="Segoe UI" w:hAnsi="Segoe UI"/>
                <w:color w:val="1C2530"/>
                <w:sz w:val="19"/>
              </w:rPr>
              <w:t>El checklist que abre corresponde al tipo del activo escaneado</w:t>
            </w:r>
          </w:p>
        </w:tc>
      </w:tr>
      <w:tr>
        <w:tc>
          <w:tcPr>
            <w:tcW w:type="dxa" w:w="1474"/>
            <w:shd w:val="clear" w:fill="F4F6F8"/>
          </w:tcPr>
          <w:p>
            <w:pPr>
              <w:spacing w:after="40" w:before="40"/>
            </w:pPr>
            <w:r>
              <w:rPr>
                <w:rFonts w:ascii="Segoe UI" w:hAnsi="Segoe UI"/>
                <w:color w:val="1C2530"/>
                <w:sz w:val="19"/>
              </w:rPr>
              <w:t>CA-01.6</w:t>
            </w:r>
          </w:p>
        </w:tc>
        <w:tc>
          <w:tcPr>
            <w:tcW w:type="dxa" w:w="7880"/>
            <w:shd w:val="clear" w:fill="F4F6F8"/>
          </w:tcPr>
          <w:p>
            <w:pPr>
              <w:spacing w:after="40" w:before="40"/>
            </w:pPr>
            <w:r>
              <w:rPr>
                <w:rFonts w:ascii="Segoe UI" w:hAnsi="Segoe UI"/>
                <w:color w:val="1C2530"/>
                <w:sz w:val="19"/>
              </w:rPr>
              <w:t>Las fotografías quedan asociadas al mantenimiento y comprimidas</w:t>
            </w:r>
          </w:p>
        </w:tc>
      </w:tr>
      <w:tr>
        <w:tc>
          <w:tcPr>
            <w:tcW w:type="dxa" w:w="1474"/>
          </w:tcPr>
          <w:p>
            <w:pPr>
              <w:spacing w:after="40" w:before="40"/>
            </w:pPr>
            <w:r>
              <w:rPr>
                <w:rFonts w:ascii="Segoe UI" w:hAnsi="Segoe UI"/>
                <w:color w:val="1C2530"/>
                <w:sz w:val="19"/>
              </w:rPr>
              <w:t>CA-01.7</w:t>
            </w:r>
          </w:p>
        </w:tc>
        <w:tc>
          <w:tcPr>
            <w:tcW w:type="dxa" w:w="7880"/>
          </w:tcPr>
          <w:p>
            <w:pPr>
              <w:spacing w:after="40" w:before="40"/>
            </w:pPr>
            <w:r>
              <w:rPr>
                <w:rFonts w:ascii="Segoe UI" w:hAnsi="Segoe UI"/>
                <w:color w:val="1C2530"/>
                <w:sz w:val="19"/>
              </w:rPr>
              <w:t>Un mantenimiento sin firma no puede cerrarse</w:t>
            </w:r>
          </w:p>
        </w:tc>
      </w:tr>
    </w:tbl>
    <w:p>
      <w:pPr>
        <w:spacing w:after="0"/>
      </w:pPr>
    </w:p>
    <w:tbl>
      <w:tblPr>
        <w:tblW w:type="auto" w:w="0"/>
        <w:jc w:val="center"/>
        <w:tblLook w:firstColumn="1" w:firstRow="1" w:lastColumn="0" w:lastRow="0" w:noHBand="0" w:noVBand="1" w:val="04A0"/>
      </w:tblPr>
      <w:tblGrid>
        <w:gridCol w:w="9746"/>
      </w:tblGrid>
      <w:tr>
        <w:tc>
          <w:tcPr>
            <w:tcW w:type="dxa" w:w="9746"/>
            <w:shd w:val="clear" w:fill="FBE9E9"/>
            <w:tcBorders>
              <w:left w:val="single" w:sz="18" w:color="A82D2D"/>
            </w:tcBorders>
          </w:tcPr>
          <w:p>
            <w:pPr>
              <w:spacing w:before="120" w:after="120"/>
            </w:pPr>
            <w:r/>
            <w:r>
              <w:rPr>
                <w:rFonts w:ascii="Segoe UI" w:hAnsi="Segoe UI"/>
                <w:b/>
                <w:color w:val="A82D2D"/>
                <w:sz w:val="20"/>
              </w:rPr>
              <w:t xml:space="preserve">Advertencia sobre el estado actual.  </w:t>
            </w:r>
            <w:r>
              <w:rPr>
                <w:rFonts w:ascii="Segoe UI" w:hAnsi="Segoe UI"/>
                <w:color w:val="1C2530"/>
                <w:sz w:val="20"/>
              </w:rPr>
              <w:t>Este flujo nunca se ha ejecutado completo: la tabla de mantenimientos está vacía. Y como los 34 activos comparten una coordenada en Bogotá, hoy fallan a la vez CA-01.3 y CA-01.4.</w:t>
            </w:r>
          </w:p>
        </w:tc>
      </w:tr>
    </w:tbl>
    <w:p>
      <w:pPr>
        <w:spacing w:after="0"/>
      </w:pPr>
    </w:p>
    <w:p>
      <w:pPr>
        <w:keepNext/>
        <w:spacing w:before="280" w:after="120"/>
      </w:pPr>
      <w:r>
        <w:rPr>
          <w:rFonts w:ascii="Segoe UI" w:hAnsi="Segoe UI"/>
          <w:b/>
          <w:color w:val="1F5B99"/>
          <w:sz w:val="26"/>
        </w:rPr>
        <w:t>CU-02. El supervisor programa y asigna una orden de trabajo</w:t>
      </w:r>
    </w:p>
    <w:p>
      <w:pPr>
        <w:spacing w:after="120" w:before="0"/>
        <w:ind w:left="0"/>
      </w:pPr>
      <w:r>
        <w:rPr>
          <w:rFonts w:ascii="Segoe UI" w:hAnsi="Segoe UI"/>
          <w:b w:val="0"/>
          <w:i w:val="0"/>
          <w:color w:val="1C2530"/>
          <w:sz w:val="21"/>
        </w:rPr>
        <w:t>El supervisor crea la orden en el portal seleccionando activo, técnico, fecha programada y tipo de trabajo. El sistema asigna el número, un bot notifica por correo al técnico y la orden aparece en su celular al sincronizar.</w:t>
      </w:r>
    </w:p>
    <w:p>
      <w:pPr>
        <w:spacing w:after="120" w:before="0"/>
        <w:ind w:left="0"/>
      </w:pPr>
      <w:r>
        <w:rPr>
          <w:rFonts w:ascii="Segoe UI" w:hAnsi="Segoe UI"/>
          <w:b w:val="0"/>
          <w:i w:val="0"/>
          <w:color w:val="B0700C"/>
          <w:sz w:val="21"/>
        </w:rPr>
        <w:t>Sin resolver: los estados que hoy existen en los datos son Asignada, Cerrada y Suspendida, pero no hay definición de quién puede pasar de uno a otro ni bajo qué condición. Es la decisión D-06.</w:t>
      </w:r>
    </w:p>
    <w:p>
      <w:pPr>
        <w:spacing w:before="160" w:after="60"/>
        <w:jc w:val="center"/>
      </w:pPr>
      <w:r>
        <w:drawing>
          <wp:inline xmlns:a="http://schemas.openxmlformats.org/drawingml/2006/main" xmlns:pic="http://schemas.openxmlformats.org/drawingml/2006/picture">
            <wp:extent cx="5940000" cy="2138400"/>
            <wp:docPr id="4" name="Picture 4"/>
            <wp:cNvGraphicFramePr>
              <a:graphicFrameLocks noChangeAspect="1"/>
            </wp:cNvGraphicFramePr>
            <a:graphic>
              <a:graphicData uri="http://schemas.openxmlformats.org/drawingml/2006/picture">
                <pic:pic>
                  <pic:nvPicPr>
                    <pic:cNvPr id="0" name="fig_04_ciclo_ot.png"/>
                    <pic:cNvPicPr/>
                  </pic:nvPicPr>
                  <pic:blipFill>
                    <a:blip r:embed="rId13"/>
                    <a:stretch>
                      <a:fillRect/>
                    </a:stretch>
                  </pic:blipFill>
                  <pic:spPr>
                    <a:xfrm>
                      <a:off x="0" y="0"/>
                      <a:ext cx="5940000" cy="2138400"/>
                    </a:xfrm>
                    <a:prstGeom prst="rect"/>
                  </pic:spPr>
                </pic:pic>
              </a:graphicData>
            </a:graphic>
          </wp:inline>
        </w:drawing>
      </w:r>
    </w:p>
    <w:p>
      <w:pPr>
        <w:spacing w:after="240"/>
        <w:jc w:val="center"/>
      </w:pPr>
      <w:r>
        <w:rPr>
          <w:rFonts w:ascii="Segoe UI" w:hAnsi="Segoe UI"/>
          <w:i/>
          <w:color w:val="6E7A86"/>
          <w:sz w:val="17"/>
        </w:rPr>
        <w:t>Figura 4. Ciclo de vida propuesto para la orden de trabajo.</w:t>
      </w:r>
    </w:p>
    <w:p>
      <w:pPr>
        <w:keepNext/>
        <w:spacing w:before="280" w:after="120"/>
      </w:pPr>
      <w:r>
        <w:rPr>
          <w:rFonts w:ascii="Segoe UI" w:hAnsi="Segoe UI"/>
          <w:b/>
          <w:color w:val="1F5B99"/>
          <w:sz w:val="26"/>
        </w:rPr>
        <w:t>CU-03. El supervisor revisa y aprueba</w:t>
      </w:r>
    </w:p>
    <w:p>
      <w:pPr>
        <w:spacing w:after="120" w:before="0"/>
        <w:ind w:left="0"/>
      </w:pPr>
      <w:r>
        <w:rPr>
          <w:rFonts w:ascii="Segoe UI" w:hAnsi="Segoe UI"/>
          <w:b w:val="0"/>
          <w:i w:val="0"/>
          <w:color w:val="1C2530"/>
          <w:sz w:val="21"/>
        </w:rPr>
        <w:t>Al sincronizar el técnico, el mantenimiento aparece en el portal. El supervisor revisa checklist, fotografías, firma y coordenada de cierre, y aprueba o devuelve con observación. Al aprobar, la orden se cierra y el indicador de cumplimiento se actualiza.</w:t>
      </w:r>
    </w:p>
    <w:p>
      <w:pPr>
        <w:spacing w:after="120" w:before="0"/>
        <w:ind w:left="0"/>
      </w:pPr>
      <w:r>
        <w:rPr>
          <w:rFonts w:ascii="Segoe UI" w:hAnsi="Segoe UI"/>
          <w:b w:val="0"/>
          <w:i w:val="0"/>
          <w:color w:val="B0700C"/>
          <w:sz w:val="21"/>
        </w:rPr>
        <w:t>Sin resolver: no existe el flujo de rechazo. Qué pasa con un mantenimiento devuelto, si el técnico lo corrige sobre el mismo registro o crea uno nuevo, y si el rechazo notifica. Es la decisión D-07.</w:t>
      </w:r>
    </w:p>
    <w:p>
      <w:pPr>
        <w:keepNext/>
        <w:spacing w:before="280" w:after="120"/>
      </w:pPr>
      <w:r>
        <w:rPr>
          <w:rFonts w:ascii="Segoe UI" w:hAnsi="Segoe UI"/>
          <w:b/>
          <w:color w:val="1F5B99"/>
          <w:sz w:val="26"/>
        </w:rPr>
        <w:t>CU-04. Alerta automática por activo fuera de servicio</w:t>
      </w:r>
    </w:p>
    <w:p>
      <w:pPr>
        <w:spacing w:after="120" w:before="0"/>
        <w:ind w:left="0"/>
      </w:pPr>
      <w:r>
        <w:rPr>
          <w:rFonts w:ascii="Segoe UI" w:hAnsi="Segoe UI"/>
          <w:b w:val="0"/>
          <w:i w:val="0"/>
          <w:color w:val="1C2530"/>
          <w:sz w:val="21"/>
        </w:rPr>
        <w:t>Cuando el técnico cierra un mantenimiento con estado final Fuera de servicio, al sincronizar se dispara un bot que genera un informe en PDF con los datos de la falla, la ubicación y las fotografías, y lo envía por correo prioritario al CCO y al supervisor de la zona.</w:t>
      </w:r>
    </w:p>
    <w:p>
      <w:pPr>
        <w:spacing w:after="120" w:before="0"/>
        <w:ind w:left="0"/>
      </w:pPr>
      <w:r>
        <w:rPr>
          <w:rFonts w:ascii="Segoe UI" w:hAnsi="Segoe UI"/>
          <w:b w:val="0"/>
          <w:i w:val="0"/>
          <w:color w:val="B0700C"/>
          <w:sz w:val="21"/>
        </w:rPr>
        <w:t>Sin resolver: a quién exactamente se notifica, si hay escalamiento cuando nadie responde, y si un activo fuera de servicio debe generar automáticamente una orden correctiva. Es la decisión D-08.</w:t>
      </w:r>
    </w:p>
    <w:p>
      <w:pPr>
        <w:keepNext/>
        <w:spacing w:before="280" w:after="120"/>
      </w:pPr>
      <w:r>
        <w:rPr>
          <w:rFonts w:ascii="Segoe UI" w:hAnsi="Segoe UI"/>
          <w:b/>
          <w:color w:val="1F5B99"/>
          <w:sz w:val="26"/>
        </w:rPr>
        <w:t>CU-05. El administrador mantiene el inventario y los formularios</w:t>
      </w:r>
    </w:p>
    <w:p>
      <w:pPr>
        <w:spacing w:after="120" w:before="0"/>
        <w:ind w:left="0"/>
      </w:pPr>
      <w:r>
        <w:rPr>
          <w:rFonts w:ascii="Segoe UI" w:hAnsi="Segoe UI"/>
          <w:b w:val="0"/>
          <w:i w:val="0"/>
          <w:color w:val="1C2530"/>
          <w:sz w:val="21"/>
        </w:rPr>
        <w:t>Da de alta activos con su código, tipo, sede, punto de referencia, calzada, sentido, coordenada real, frecuencia y código QR. Define o ajusta el formulario de inspección de cada tipo de activo y publica el cambio, que los técnicos reciben en la siguiente sincronización.</w:t>
      </w:r>
    </w:p>
    <w:p>
      <w:pPr>
        <w:spacing w:after="120" w:before="0"/>
        <w:ind w:left="0"/>
      </w:pPr>
      <w:r>
        <w:rPr>
          <w:rFonts w:ascii="Segoe UI" w:hAnsi="Segoe UI"/>
          <w:b w:val="0"/>
          <w:i w:val="0"/>
          <w:color w:val="B0700C"/>
          <w:sz w:val="21"/>
        </w:rPr>
        <w:t>Sin resolver: modificar una pregunta hoy rompe la comparación histórica, porque el detalle guarda el texto y no el identificador de la pregunta. Es la decisión D-11.</w:t>
      </w:r>
    </w:p>
    <w:p>
      <w:pPr>
        <w:keepNext/>
        <w:spacing w:before="280" w:after="120"/>
      </w:pPr>
      <w:r>
        <w:rPr>
          <w:rFonts w:ascii="Segoe UI" w:hAnsi="Segoe UI"/>
          <w:b/>
          <w:color w:val="A82D2D"/>
          <w:sz w:val="26"/>
        </w:rPr>
        <w:t>CU-06. Reportes y tablero</w:t>
      </w:r>
    </w:p>
    <w:p>
      <w:pPr>
        <w:spacing w:after="120" w:before="0"/>
        <w:ind w:left="0"/>
      </w:pPr>
      <w:r>
        <w:rPr>
          <w:rFonts w:ascii="Segoe UI" w:hAnsi="Segoe UI"/>
          <w:b w:val="0"/>
          <w:i w:val="0"/>
          <w:color w:val="1C2530"/>
          <w:sz w:val="21"/>
        </w:rPr>
        <w:t>Este caso de uso no está definido, y es el vacío más grande del proyecto: el sistema captura datos desde julio pero nadie ha especificado qué debe producir con ellos. Lo que se menciona en documentos previos (cumplimiento, tiempo de atención, disponibilidad por zona, mapa de activos fuera de servicio) no tiene fórmula, periodicidad, destinatario ni formato acordado. Son las decisiones D-12 y D-13.</w:t>
      </w:r>
    </w:p>
    <w:p>
      <w:r>
        <w:br w:type="page"/>
      </w:r>
    </w:p>
    <w:p>
      <w:pPr>
        <w:keepNext/>
        <w:spacing w:before="360" w:after="120"/>
      </w:pPr>
      <w:r>
        <w:rPr>
          <w:rFonts w:ascii="Segoe UI" w:hAnsi="Segoe UI"/>
          <w:b/>
          <w:color w:val="1C2530"/>
          <w:sz w:val="32"/>
        </w:rPr>
        <w:t>5. Las catorce decisiones</w:t>
      </w:r>
    </w:p>
    <w:p>
      <w:pPr>
        <w:spacing w:after="120" w:before="0"/>
        <w:ind w:left="0"/>
      </w:pPr>
      <w:r>
        <w:rPr>
          <w:rFonts w:ascii="Segoe UI" w:hAnsi="Segoe UI"/>
          <w:b w:val="0"/>
          <w:i w:val="0"/>
          <w:color w:val="1C2530"/>
          <w:sz w:val="21"/>
        </w:rPr>
        <w:t>Agrupadas en cinco bloques. Cada una bloquea trabajo concreto. Las marcadas como ruta crítica son las que fijan el cronograma del proyecto.</w:t>
      </w:r>
    </w:p>
    <w:p>
      <w:pPr>
        <w:keepNext/>
        <w:spacing w:before="280" w:after="120"/>
      </w:pPr>
      <w:r>
        <w:rPr>
          <w:rFonts w:ascii="Segoe UI" w:hAnsi="Segoe UI"/>
          <w:b/>
          <w:color w:val="6E7A86"/>
          <w:sz w:val="22"/>
        </w:rPr>
        <w:t>Bloque A. Datos maestros</w:t>
      </w:r>
    </w:p>
    <w:p>
      <w:pPr>
        <w:keepNext/>
        <w:spacing w:before="280" w:after="40"/>
      </w:pPr>
      <w:r>
        <w:rPr>
          <w:rFonts w:ascii="Segoe UI" w:hAnsi="Segoe UI"/>
          <w:b/>
          <w:color w:val="1F5B99"/>
          <w:sz w:val="26"/>
        </w:rPr>
        <w:t xml:space="preserve">D-01.  </w:t>
      </w:r>
      <w:r>
        <w:rPr>
          <w:rFonts w:ascii="Segoe UI" w:hAnsi="Segoe UI"/>
          <w:b/>
          <w:color w:val="1C2530"/>
          <w:sz w:val="26"/>
        </w:rPr>
        <w:t>Coordenadas reales de los activos</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Los 34 activos del inventario tienen exactamente la misma coordenada: 4.728512, -74.114531. Ese punto está en Bogotá, no en el corredor.</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Toda la promesa de evidencia verificable del sistema descansa en el control GPS, y ese control compara la posición del técnico contra esa coordenada. Con el dato actual, un técnico parado frente a un poste SOS en Machetá no podrá cerrar nunca su mantenimiento, y en cambio cualquiera ubicado en ese punto de Bogotá validaría los 34 activos. La regla está bien programada; el dato la vuelve inútil.</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Levantar la coordenada de los 34 activos en un recorrido de corredor, capturando con el mismo celular que usará el técnico, y cargarlas al inventario. Aprovechar el recorrido para verificar que el código QR físico esté instalado y legible.</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¿Quién hace el recorrido y en qué fecha?</w:t>
      </w:r>
    </w:p>
    <w:p>
      <w:pPr>
        <w:pStyle w:val="ListBullet"/>
        <w:spacing w:after="60"/>
        <w:ind w:left="454"/>
      </w:pPr>
      <w:r>
        <w:rPr>
          <w:rFonts w:ascii="Segoe UI" w:hAnsi="Segoe UI"/>
          <w:color w:val="1C2530"/>
          <w:sz w:val="21"/>
        </w:rPr>
        <w:t>¿Existe ya un levantamiento topográfico o un inventario georreferenciado del que podamos tomar las coordenadas sin salir a campo?</w:t>
      </w:r>
    </w:p>
    <w:p>
      <w:pPr>
        <w:pStyle w:val="ListBullet"/>
        <w:spacing w:after="60"/>
        <w:ind w:left="454"/>
      </w:pPr>
      <w:r>
        <w:rPr>
          <w:rFonts w:ascii="Segoe UI" w:hAnsi="Segoe UI"/>
          <w:color w:val="1C2530"/>
          <w:sz w:val="21"/>
        </w:rPr>
        <w:t>¿Los 34 activos cargados son todo el inventario, o falta registrar más?</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control GPS, el piloto de campo y los criterios de aceptación CA-01.3 y CA-01.4.</w:t>
      </w:r>
    </w:p>
    <w:p>
      <w:pPr>
        <w:keepNext/>
        <w:spacing w:before="280" w:after="40"/>
      </w:pPr>
      <w:r>
        <w:rPr>
          <w:rFonts w:ascii="Segoe UI" w:hAnsi="Segoe UI"/>
          <w:b/>
          <w:color w:val="1F5B99"/>
          <w:sz w:val="26"/>
        </w:rPr>
        <w:t xml:space="preserve">D-02.  </w:t>
      </w:r>
      <w:r>
        <w:rPr>
          <w:rFonts w:ascii="Segoe UI" w:hAnsi="Segoe UI"/>
          <w:b/>
          <w:color w:val="1C2530"/>
          <w:sz w:val="26"/>
        </w:rPr>
        <w:t>Radio de tolerancia del control GPS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radio definido es 1,0 km, heredado de la especificación original.</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Un kilómetro es mucho para un poste SOS en vía abierta, donde 100 metros bastarían para probar presencia. Y puede ser poco para un activo lineal como un tramo de fibra óptica, donde el técnico puede intervenir legítimamente a varios kilómetros del punto registrado. Un radio único para 18 tipos de activo muy distintos es una simplificación que conviene revisar.</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Radio diferenciado por tipo de activo: 200 m para activos puntuales (SOS, CCTV, paneles, básculas) y un tratamiento distinto para fibra óptica y activos lineales.</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¿El kilómetro es una exigencia contractual o de interventoría, o es un valor elegido por el equipo?</w:t>
      </w:r>
    </w:p>
    <w:p>
      <w:pPr>
        <w:pStyle w:val="ListBullet"/>
        <w:spacing w:after="60"/>
        <w:ind w:left="454"/>
      </w:pPr>
      <w:r>
        <w:rPr>
          <w:rFonts w:ascii="Segoe UI" w:hAnsi="Segoe UI"/>
          <w:color w:val="1C2530"/>
          <w:sz w:val="21"/>
        </w:rPr>
        <w:t>¿Acepta radio diferenciado por tipo de activo?</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configuración definitiva de la regla de validación.</w:t>
      </w:r>
    </w:p>
    <w:p>
      <w:pPr>
        <w:keepNext/>
        <w:spacing w:before="280" w:after="40"/>
      </w:pPr>
      <w:r>
        <w:rPr>
          <w:rFonts w:ascii="Segoe UI" w:hAnsi="Segoe UI"/>
          <w:b/>
          <w:color w:val="1F5B99"/>
          <w:sz w:val="26"/>
        </w:rPr>
        <w:t xml:space="preserve">D-03.  </w:t>
      </w:r>
      <w:r>
        <w:rPr>
          <w:rFonts w:ascii="Segoe UI" w:hAnsi="Segoe UI"/>
          <w:b/>
          <w:color w:val="1C2530"/>
          <w:sz w:val="26"/>
        </w:rPr>
        <w:t>Qué significa la sede de un activo</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Los 11 usuarios están registrados en la sede 1, que es el CCO. Los 34 activos están repartidos entre las sedes 7 a 10, que son las unidades funcionales UF1 a UF4. La intersección es vacía.</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El filtro de seguridad descarga al celular del técnico solo los activos de su sede. Con los datos actuales, cada técnico descargaría cero activos y la aplicación quedaría vacía en sus manos el primer día de piloto. El problema de fondo es que la misma columna se usa con dos significados: para los usuarios es el sitio físico donde trabajan (CCO, peaje, báscula) y para los activos es el tramo del corredor donde están (UF1 a UF4).</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Separar los dos conceptos: la unidad funcional es un atributo del activo y la zona de trabajo es un atributo del usuario. Un técnico puede tener asignada más de una unidad funcional.</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¿Un técnico atiende una unidad funcional completa, un tramo, o todo el corredor?</w:t>
      </w:r>
    </w:p>
    <w:p>
      <w:pPr>
        <w:pStyle w:val="ListBullet"/>
        <w:spacing w:after="60"/>
        <w:ind w:left="454"/>
      </w:pPr>
      <w:r>
        <w:rPr>
          <w:rFonts w:ascii="Segoe UI" w:hAnsi="Segoe UI"/>
          <w:color w:val="1C2530"/>
          <w:sz w:val="21"/>
        </w:rPr>
        <w:t>¿Un técnico del CCO puede intervenir activos de cualquier unidad funcional?</w:t>
      </w:r>
    </w:p>
    <w:p>
      <w:pPr>
        <w:pStyle w:val="ListBullet"/>
        <w:spacing w:after="60"/>
        <w:ind w:left="454"/>
      </w:pPr>
      <w:r>
        <w:rPr>
          <w:rFonts w:ascii="Segoe UI" w:hAnsi="Segoe UI"/>
          <w:color w:val="1C2530"/>
          <w:sz w:val="21"/>
        </w:rPr>
        <w:t>¿Qué debe ver un supervisor: su zona o todo el corredor?</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filtro de seguridad y, con él, la descarga de datos al celular. Sin esto el piloto no arranca.</w:t>
      </w:r>
    </w:p>
    <w:p>
      <w:pPr>
        <w:keepNext/>
        <w:spacing w:before="280" w:after="120"/>
      </w:pPr>
      <w:r>
        <w:rPr>
          <w:rFonts w:ascii="Segoe UI" w:hAnsi="Segoe UI"/>
          <w:b/>
          <w:color w:val="6E7A86"/>
          <w:sz w:val="22"/>
        </w:rPr>
        <w:t>Bloque B. Operación en campo</w:t>
      </w:r>
    </w:p>
    <w:p>
      <w:pPr>
        <w:keepNext/>
        <w:spacing w:before="280" w:after="40"/>
      </w:pPr>
      <w:r>
        <w:rPr>
          <w:rFonts w:ascii="Segoe UI" w:hAnsi="Segoe UI"/>
          <w:b/>
          <w:color w:val="1F5B99"/>
          <w:sz w:val="26"/>
        </w:rPr>
        <w:t xml:space="preserve">D-04.  </w:t>
      </w:r>
      <w:r>
        <w:rPr>
          <w:rFonts w:ascii="Segoe UI" w:hAnsi="Segoe UI"/>
          <w:b/>
          <w:color w:val="1C2530"/>
          <w:sz w:val="26"/>
        </w:rPr>
        <w:t>Qué hacer cuando el GPS falla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sistema captura la precisión del GPS pero no define qué hacer cuando esa precisión es mala. El plan original ya señalaba el riesgo de falsos negativos y proponía un mecanismo de excepción supervisada, que nunca se especificó.</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En túnel, en cañón o bajo copa densa, el celular puede reportar una posición con error de cientos de metros o no fijar nada. Si el sistema bloquea sin salida, el técnico pierde el trabajo de una hora y el sistema pierde su confianza el primer día. Si el sistema deja pasar todo, el control no sirve para nada. Este es el punto donde el control se gana o se pierde.</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Permitir el cierre con excepción cuando la precisión reportada sea peor que un umbral, exigiendo al técnico un motivo escrito y una fotografía del activo, marcando el registro como cerrado con excepción y notificando al supervisor. La excepción no se oculta: queda visible en el reporte.</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¿Acepta el cierre con excepción, o prefiere bloqueo estricto y que el técnico regrese?</w:t>
      </w:r>
    </w:p>
    <w:p>
      <w:pPr>
        <w:pStyle w:val="ListBullet"/>
        <w:spacing w:after="60"/>
        <w:ind w:left="454"/>
      </w:pPr>
      <w:r>
        <w:rPr>
          <w:rFonts w:ascii="Segoe UI" w:hAnsi="Segoe UI"/>
          <w:color w:val="1C2530"/>
          <w:sz w:val="21"/>
        </w:rPr>
        <w:t>Si lo acepta, ¿quién autoriza: se marca solo y el supervisor revisa después, o requiere autorización previa por llamada al CCO?</w:t>
      </w:r>
    </w:p>
    <w:p>
      <w:pPr>
        <w:pStyle w:val="ListBullet"/>
        <w:spacing w:after="60"/>
        <w:ind w:left="454"/>
      </w:pPr>
      <w:r>
        <w:rPr>
          <w:rFonts w:ascii="Segoe UI" w:hAnsi="Segoe UI"/>
          <w:color w:val="1C2530"/>
          <w:sz w:val="21"/>
        </w:rPr>
        <w:t>¿Qué porcentaje de excepciones sería aceptable antes de considerarse un problema?</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E-02 del flujo de campo y buena parte de la aceptación del sistema por los técnicos.</w:t>
      </w:r>
    </w:p>
    <w:p>
      <w:pPr>
        <w:keepNext/>
        <w:spacing w:before="280" w:after="40"/>
      </w:pPr>
      <w:r>
        <w:rPr>
          <w:rFonts w:ascii="Segoe UI" w:hAnsi="Segoe UI"/>
          <w:b/>
          <w:color w:val="1F5B99"/>
          <w:sz w:val="26"/>
        </w:rPr>
        <w:t xml:space="preserve">D-05.  </w:t>
      </w:r>
      <w:r>
        <w:rPr>
          <w:rFonts w:ascii="Segoe UI" w:hAnsi="Segoe UI"/>
          <w:b/>
          <w:color w:val="1C2530"/>
          <w:sz w:val="26"/>
        </w:rPr>
        <w:t>Interrupción a mitad de formulario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No hay definición de qué ocurre si el técnico cierra la aplicación, se le agota la batería o lo interrumpen a mitad del checklist.</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Una inspección de poste SOS son 15 preguntas más fotografías. Perder eso por una llamada entrante es la clase de fricción que hace que un técnico vuelva al papel.</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Guardado del borrador local, con la inspección visible como en curso hasta que se cierre formalmente.</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¿Un mantenimiento puede quedar abierto de un día para otro, o debe cerrarse en la jornada?</w:t>
      </w:r>
    </w:p>
    <w:p>
      <w:pPr>
        <w:pStyle w:val="ListBullet"/>
        <w:spacing w:after="60"/>
        <w:ind w:left="454"/>
      </w:pPr>
      <w:r>
        <w:rPr>
          <w:rFonts w:ascii="Segoe UI" w:hAnsi="Segoe UI"/>
          <w:color w:val="1C2530"/>
          <w:sz w:val="21"/>
        </w:rPr>
        <w:t>¿Un mantenimiento iniciado y no cerrado cuenta como incumplimiento?</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E-03 y la definición del indicador de cumplimiento.</w:t>
      </w:r>
    </w:p>
    <w:p>
      <w:pPr>
        <w:keepNext/>
        <w:spacing w:before="280" w:after="40"/>
      </w:pPr>
      <w:r>
        <w:rPr>
          <w:rFonts w:ascii="Segoe UI" w:hAnsi="Segoe UI"/>
          <w:b/>
          <w:color w:val="1F5B99"/>
          <w:sz w:val="26"/>
        </w:rPr>
        <w:t xml:space="preserve">D-06.  </w:t>
      </w:r>
      <w:r>
        <w:rPr>
          <w:rFonts w:ascii="Segoe UI" w:hAnsi="Segoe UI"/>
          <w:b/>
          <w:color w:val="1C2530"/>
          <w:sz w:val="26"/>
        </w:rPr>
        <w:t>Ciclo de vida de la orden de trabajo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Las órdenes registradas tienen estados Asignada, Cerrada y Suspendida, pero no hay regla que diga quién cambia cada estado ni bajo qué condición. Además, el único checklist existente apunta a una orden que no existe, señal de que hoy se puede registrar trabajo sin orden válida.</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Sin ciclo de vida definido no hay indicador de cumplimiento confiable: no se puede medir ejecutado contra programado si no está claro cuándo una orden cuenta como vencida, quién la suspende y si un trabajo puede existir sin orden.</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Estados: Programada, Asignada, En ejecución, En revisión, Cerrada, Suspendida y Vencida. El técnico mueve hasta En revisión; solo el supervisor cierra o suspende; el sistema marca Vencida por fecha. Ver figura 4.</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¿Un técnico puede ejecutar un mantenimiento sin orden previa? Es el caso típico del correctivo detectado en ruta.</w:t>
      </w:r>
    </w:p>
    <w:p>
      <w:pPr>
        <w:pStyle w:val="ListBullet"/>
        <w:spacing w:after="60"/>
        <w:ind w:left="454"/>
      </w:pPr>
      <w:r>
        <w:rPr>
          <w:rFonts w:ascii="Segoe UI" w:hAnsi="Segoe UI"/>
          <w:color w:val="1C2530"/>
          <w:sz w:val="21"/>
        </w:rPr>
        <w:t>¿Cuándo se considera vencida una orden: al día siguiente de la fecha programada, al cierre de semana, al cierre de mes?</w:t>
      </w:r>
    </w:p>
    <w:p>
      <w:pPr>
        <w:pStyle w:val="ListBullet"/>
        <w:spacing w:after="60"/>
        <w:ind w:left="454"/>
      </w:pPr>
      <w:r>
        <w:rPr>
          <w:rFonts w:ascii="Segoe UI" w:hAnsi="Segoe UI"/>
          <w:color w:val="1C2530"/>
          <w:sz w:val="21"/>
        </w:rPr>
        <w:t>¿Quién puede suspender una orden y qué motivos son válidos?</w:t>
      </w:r>
    </w:p>
    <w:p>
      <w:pPr>
        <w:pStyle w:val="ListBullet"/>
        <w:spacing w:after="60"/>
        <w:ind w:left="454"/>
      </w:pPr>
      <w:r>
        <w:rPr>
          <w:rFonts w:ascii="Segoe UI" w:hAnsi="Segoe UI"/>
          <w:color w:val="1C2530"/>
          <w:sz w:val="21"/>
        </w:rPr>
        <w:t>¿Se permite reasignar una orden a otro técnico, y queda traza de la reasignación?</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indicador de cumplimiento, el flujo de asignación y la excepción E-06.</w:t>
      </w:r>
    </w:p>
    <w:p>
      <w:pPr>
        <w:keepNext/>
        <w:spacing w:before="280" w:after="40"/>
      </w:pPr>
      <w:r>
        <w:rPr>
          <w:rFonts w:ascii="Segoe UI" w:hAnsi="Segoe UI"/>
          <w:b/>
          <w:color w:val="1F5B99"/>
          <w:sz w:val="26"/>
        </w:rPr>
        <w:t xml:space="preserve">D-07.  </w:t>
      </w:r>
      <w:r>
        <w:rPr>
          <w:rFonts w:ascii="Segoe UI" w:hAnsi="Segoe UI"/>
          <w:b/>
          <w:color w:val="1C2530"/>
          <w:sz w:val="26"/>
        </w:rPr>
        <w:t>Trabajo incompleto, segunda visita y devoluciones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modelo prevé marcar que se requiere una segunda visita con su motivo, y la aprobación del supervisor, pero ninguno de los dos flujos está definido.</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El caso real más común no es el mantenimiento perfecto: es el técnico que llega y no puede terminar por falta de repuesto, por lluvia o por acceso cerrado. Si el sistema no modela ese caso, el técnico va a forzar un cierre falso o no va a registrar nada.</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Cierre parcial con motivo tipificado, que genera automáticamente una orden de seguimiento asociada a la original. Y devolución del supervisor con observación, que reabre el mantenimiento al mismo técnico conservando la traza del rechazo.</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¿Qué motivos de trabajo incompleto son válidos? Necesitamos la lista para el desplegable.</w:t>
      </w:r>
    </w:p>
    <w:p>
      <w:pPr>
        <w:pStyle w:val="ListBullet"/>
        <w:spacing w:after="60"/>
        <w:ind w:left="454"/>
      </w:pPr>
      <w:r>
        <w:rPr>
          <w:rFonts w:ascii="Segoe UI" w:hAnsi="Segoe UI"/>
          <w:color w:val="1C2530"/>
          <w:sz w:val="21"/>
        </w:rPr>
        <w:t>¿La segunda visita es una orden nueva o la misma orden reabierta?</w:t>
      </w:r>
    </w:p>
    <w:p>
      <w:pPr>
        <w:pStyle w:val="ListBullet"/>
        <w:spacing w:after="60"/>
        <w:ind w:left="454"/>
      </w:pPr>
      <w:r>
        <w:rPr>
          <w:rFonts w:ascii="Segoe UI" w:hAnsi="Segoe UI"/>
          <w:color w:val="1C2530"/>
          <w:sz w:val="21"/>
        </w:rPr>
        <w:t>Cuando el supervisor devuelve, ¿el técnico corrige el registro original o crea uno nuevo?</w:t>
      </w:r>
    </w:p>
    <w:p>
      <w:pPr>
        <w:pStyle w:val="ListBullet"/>
        <w:spacing w:after="60"/>
        <w:ind w:left="454"/>
      </w:pPr>
      <w:r>
        <w:rPr>
          <w:rFonts w:ascii="Segoe UI" w:hAnsi="Segoe UI"/>
          <w:color w:val="1C2530"/>
          <w:sz w:val="21"/>
        </w:rPr>
        <w:t>¿El rechazo debe notificar por correo?</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E-04, el flujo de aprobación y el cálculo real de cumplimiento.</w:t>
      </w:r>
    </w:p>
    <w:p>
      <w:pPr>
        <w:keepNext/>
        <w:spacing w:before="280" w:after="40"/>
      </w:pPr>
      <w:r>
        <w:rPr>
          <w:rFonts w:ascii="Segoe UI" w:hAnsi="Segoe UI"/>
          <w:b/>
          <w:color w:val="1F5B99"/>
          <w:sz w:val="26"/>
        </w:rPr>
        <w:t xml:space="preserve">D-08.  </w:t>
      </w:r>
      <w:r>
        <w:rPr>
          <w:rFonts w:ascii="Segoe UI" w:hAnsi="Segoe UI"/>
          <w:b/>
          <w:color w:val="1C2530"/>
          <w:sz w:val="26"/>
        </w:rPr>
        <w:t>Activos no inventariados y correctivo desde campo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No hay ruta para un activo que el técnico encuentra en vía y que no está en el sistema, ni para una falla detectada fuera de programación.</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Sin esa ruta, los hallazgos de campo se pierden o se gestionan por WhatsApp, que es exactamente lo que el sistema viene a reemplazar.</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Permitir al técnico levantar un reporte de novedad con foto, coordenada y descripción, que llega al supervisor como solicitud de alta de activo o de orden correctiva, sin que el técnico pueda crear activos directamente.</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¿Los técnicos deben poder reportar novedades de activos no inventariados?</w:t>
      </w:r>
    </w:p>
    <w:p>
      <w:pPr>
        <w:pStyle w:val="ListBullet"/>
        <w:spacing w:after="60"/>
        <w:ind w:left="454"/>
      </w:pPr>
      <w:r>
        <w:rPr>
          <w:rFonts w:ascii="Segoe UI" w:hAnsi="Segoe UI"/>
          <w:color w:val="1C2530"/>
          <w:sz w:val="21"/>
        </w:rPr>
        <w:t>Un activo que queda fuera de servicio, ¿debe generar automáticamente una orden correctiva, o el correctivo se gestiona por fuera del sistema?</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excepción E-05 y el alcance de la alerta automática.</w:t>
      </w:r>
    </w:p>
    <w:p>
      <w:pPr>
        <w:keepNext/>
        <w:spacing w:before="280" w:after="120"/>
      </w:pPr>
      <w:r>
        <w:rPr>
          <w:rFonts w:ascii="Segoe UI" w:hAnsi="Segoe UI"/>
          <w:b/>
          <w:color w:val="6E7A86"/>
          <w:sz w:val="22"/>
        </w:rPr>
        <w:t>Bloque C. Alcance de los formularios</w:t>
      </w:r>
    </w:p>
    <w:p>
      <w:pPr>
        <w:keepNext/>
        <w:spacing w:before="280" w:after="40"/>
      </w:pPr>
      <w:r>
        <w:rPr>
          <w:rFonts w:ascii="Segoe UI" w:hAnsi="Segoe UI"/>
          <w:b/>
          <w:color w:val="1F5B99"/>
          <w:sz w:val="26"/>
        </w:rPr>
        <w:t xml:space="preserve">D-09.  </w:t>
      </w:r>
      <w:r>
        <w:rPr>
          <w:rFonts w:ascii="Segoe UI" w:hAnsi="Segoe UI"/>
          <w:b/>
          <w:color w:val="1C2530"/>
          <w:sz w:val="26"/>
        </w:rPr>
        <w:t>Cuántos tipos de activo entran al primer sprint</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Hay 18 tipos de activo y 18 formularios declarados, pero solo el de postes SOS tiene sus preguntas construidas: 15 preguntas. Los otros 17 están vacíos. Además, la columna que conecta cada tipo de activo con su formulario está vacía en los 18 tipos, de modo que hoy la aplicación no sabría qué checklist abrir ni siquiera para el SOS.</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Construir los 17 bancos restantes son del orden de 250 preguntas que alguien con criterio técnico debe redactar, con sus rangos, unidades y obligatoriedad. Es la tarea más grande que queda y es trabajo del equipo de la Concesión, no de configuración. Intentar construir los 18 a la vez es lo que hará que el proyecto se estanque otro mes.</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Arrancar con tres tipos que cubran la mayor cantidad de activos y de casuística (postes SOS, CCTV y paneles de mensaje variable), validar el ciclo completo en campo con ellos, e incorporar el resto en tandas quincenales según criticidad.</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¿Cuáles tres tipos priorizamos? ¿Coincide con SOS, CCTV y paneles?</w:t>
      </w:r>
    </w:p>
    <w:p>
      <w:pPr>
        <w:pStyle w:val="ListBullet"/>
        <w:spacing w:after="60"/>
        <w:ind w:left="454"/>
      </w:pPr>
      <w:r>
        <w:rPr>
          <w:rFonts w:ascii="Segoe UI" w:hAnsi="Segoe UI"/>
          <w:color w:val="1C2530"/>
          <w:sz w:val="21"/>
        </w:rPr>
        <w:t>¿Quién redacta y valida técnicamente las preguntas de cada tipo, y con qué disponibilidad?</w:t>
      </w:r>
    </w:p>
    <w:p>
      <w:pPr>
        <w:pStyle w:val="ListBullet"/>
        <w:spacing w:after="60"/>
        <w:ind w:left="454"/>
      </w:pPr>
      <w:r>
        <w:rPr>
          <w:rFonts w:ascii="Segoe UI" w:hAnsi="Segoe UI"/>
          <w:color w:val="1C2530"/>
          <w:sz w:val="21"/>
        </w:rPr>
        <w:t>¿Existen formatos de inspección en papel vigentes que podamos transcribir en lugar de redactar desde cero? Sería la vía más rápida y la que mejor refleja la práctica real.</w:t>
      </w:r>
    </w:p>
    <w:p>
      <w:pPr>
        <w:pStyle w:val="ListBullet"/>
        <w:spacing w:after="60"/>
        <w:ind w:left="454"/>
      </w:pPr>
      <w:r>
        <w:rPr>
          <w:rFonts w:ascii="Segoe UI" w:hAnsi="Segoe UI"/>
          <w:color w:val="1C2530"/>
          <w:sz w:val="21"/>
        </w:rPr>
        <w:t>¿Hay un requisito contractual o de interventoría sobre qué debe contener una inspección?</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alcance real del primer sprint y su fecha. Es la decisión que más mueve el cronograma.</w:t>
      </w:r>
    </w:p>
    <w:p>
      <w:pPr>
        <w:keepNext/>
        <w:spacing w:before="280" w:after="40"/>
      </w:pPr>
      <w:r>
        <w:rPr>
          <w:rFonts w:ascii="Segoe UI" w:hAnsi="Segoe UI"/>
          <w:b/>
          <w:color w:val="1F5B99"/>
          <w:sz w:val="26"/>
        </w:rPr>
        <w:t xml:space="preserve">D-10.  </w:t>
      </w:r>
      <w:r>
        <w:rPr>
          <w:rFonts w:ascii="Segoe UI" w:hAnsi="Segoe UI"/>
          <w:b/>
          <w:color w:val="1C2530"/>
          <w:sz w:val="26"/>
        </w:rPr>
        <w:t>Evidencia fotográfica y firmas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requerimiento habla de hasta 6 fotografías. El modelo de datos las soporta de dos maneras a la vez, incompatibles entre sí: dos campos fijos dentro del registro de mantenimiento (imagen de inicio e imagen final) y una tabla separada sin límite. Lo mismo ocurre con las firmas. Las tablas separadas están vacías.</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 no se decide, el técnico terminará firmando dos veces y adjuntando fotos en dos lugares distintos, o peor, la evidencia quedará repartida y los reportes no la encontrarán completa.</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Si se mantienen las 6 fotografías, la única vía viable es la tabla separada, y hay que retirar los campos fijos del registro de mantenimiento. Firma del técnico siempre; firma del supervisor solo si efectivamente firma en campo.</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¿Cuántas fotografías exige realmente una inspección: un mínimo obligatorio y un máximo?</w:t>
      </w:r>
    </w:p>
    <w:p>
      <w:pPr>
        <w:pStyle w:val="ListBullet"/>
        <w:spacing w:after="60"/>
        <w:ind w:left="454"/>
      </w:pPr>
      <w:r>
        <w:rPr>
          <w:rFonts w:ascii="Segoe UI" w:hAnsi="Segoe UI"/>
          <w:color w:val="1C2530"/>
          <w:sz w:val="21"/>
        </w:rPr>
        <w:t>¿Deben ser fotografías tipificadas (antes, después, novedad) o libres?</w:t>
      </w:r>
    </w:p>
    <w:p>
      <w:pPr>
        <w:pStyle w:val="ListBullet"/>
        <w:spacing w:after="60"/>
        <w:ind w:left="454"/>
      </w:pPr>
      <w:r>
        <w:rPr>
          <w:rFonts w:ascii="Segoe UI" w:hAnsi="Segoe UI"/>
          <w:color w:val="1C2530"/>
          <w:sz w:val="21"/>
        </w:rPr>
        <w:t>¿El supervisor firma en campo junto al técnico, o su validación es la aprobación en el portal?</w:t>
      </w:r>
    </w:p>
    <w:p>
      <w:pPr>
        <w:pStyle w:val="ListBullet"/>
        <w:spacing w:after="60"/>
        <w:ind w:left="454"/>
      </w:pPr>
      <w:r>
        <w:rPr>
          <w:rFonts w:ascii="Segoe UI" w:hAnsi="Segoe UI"/>
          <w:color w:val="1C2530"/>
          <w:sz w:val="21"/>
        </w:rPr>
        <w:t>¿La firma tiene valor contractual frente a interventoría, o es control interno?</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diseño definitivo del formulario y el cumplimiento verificable de los requerimientos de evidencia.</w:t>
      </w:r>
    </w:p>
    <w:p>
      <w:pPr>
        <w:keepNext/>
        <w:spacing w:before="280" w:after="40"/>
      </w:pPr>
      <w:r>
        <w:rPr>
          <w:rFonts w:ascii="Segoe UI" w:hAnsi="Segoe UI"/>
          <w:b/>
          <w:color w:val="1F5B99"/>
          <w:sz w:val="26"/>
        </w:rPr>
        <w:t xml:space="preserve">D-11.  </w:t>
      </w:r>
      <w:r>
        <w:rPr>
          <w:rFonts w:ascii="Segoe UI" w:hAnsi="Segoe UI"/>
          <w:b/>
          <w:color w:val="1C2530"/>
          <w:sz w:val="26"/>
        </w:rPr>
        <w:t>Trazabilidad histórica de las respuestas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El detalle de las inspecciones guarda el texto de la pregunta, no su identificador. Si alguien reformula una pregunta, los registros anteriores dejan de ser comparables con los nuevos.</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Si el sistema debe mostrar la evolución de un activo en el tiempo, o demostrar ante interventoría que se aplicó el mismo criterio durante un periodo, esta trazabilidad es indispensable. Si el sistema solo debe dejar constancia de cada visita por separado, no lo es.</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Guardar el identificador de la pregunta junto al texto, y versionar el formulario cuando cambie.</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¿Necesita comparar la misma pregunta a lo largo del tiempo para un activo?</w:t>
      </w:r>
    </w:p>
    <w:p>
      <w:pPr>
        <w:pStyle w:val="ListBullet"/>
        <w:spacing w:after="60"/>
        <w:ind w:left="454"/>
      </w:pPr>
      <w:r>
        <w:rPr>
          <w:rFonts w:ascii="Segoe UI" w:hAnsi="Segoe UI"/>
          <w:color w:val="1C2530"/>
          <w:sz w:val="21"/>
        </w:rPr>
        <w:t>¿El sistema debe poder reconstruir cómo era un formulario en una fecha pasada?</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La comparabilidad histórica y los reportes de evolución.</w:t>
      </w:r>
    </w:p>
    <w:p>
      <w:pPr>
        <w:keepNext/>
        <w:spacing w:before="280" w:after="120"/>
      </w:pPr>
      <w:r>
        <w:rPr>
          <w:rFonts w:ascii="Segoe UI" w:hAnsi="Segoe UI"/>
          <w:b/>
          <w:color w:val="6E7A86"/>
          <w:sz w:val="22"/>
        </w:rPr>
        <w:t>Bloque D. Reportes</w:t>
      </w:r>
    </w:p>
    <w:p>
      <w:pPr>
        <w:keepNext/>
        <w:spacing w:before="280" w:after="40"/>
      </w:pPr>
      <w:r>
        <w:rPr>
          <w:rFonts w:ascii="Segoe UI" w:hAnsi="Segoe UI"/>
          <w:b/>
          <w:color w:val="1F5B99"/>
          <w:sz w:val="26"/>
        </w:rPr>
        <w:t xml:space="preserve">D-12.  </w:t>
      </w:r>
      <w:r>
        <w:rPr>
          <w:rFonts w:ascii="Segoe UI" w:hAnsi="Segoe UI"/>
          <w:b/>
          <w:color w:val="1C2530"/>
          <w:sz w:val="26"/>
        </w:rPr>
        <w:t>Qué reportes debe entregar el sistema</w:t>
      </w:r>
      <w:r>
        <w:rPr>
          <w:rFonts w:ascii="Segoe UI" w:hAnsi="Segoe UI"/>
          <w:b/>
          <w:color w:val="A82D2D"/>
          <w:sz w:val="17"/>
        </w:rPr>
        <w:t xml:space="preserve">     RUTA CRÍTICA</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Ningún reporte está definido. Se mencionan indicadores en documentos previos pero ninguno tiene fórmula, periodicidad ni destinatario.</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Este es el vacío más costoso del proyecto. Todo lo que el técnico captura en campo existe para producir algo, y ese algo nunca se especificó. Definir el reporte al final obliga casi siempre a volver atrás y capturar datos que no se pidieron. Definirlo ahora es lo que garantiza que el formulario pida lo correcto.</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Confirmar, descartar o completar la lista de reportes candidatos de la tabla siguiente, indicando para cada uno destinatario, periodicidad y formato.</w:t>
      </w:r>
    </w:p>
    <w:p>
      <w:pPr>
        <w:spacing w:after="80" w:before="0"/>
        <w:ind w:left="0"/>
      </w:pPr>
      <w:r>
        <w:rPr>
          <w:rFonts w:ascii="Segoe UI" w:hAnsi="Segoe UI"/>
          <w:b/>
          <w:i w:val="0"/>
          <w:color w:val="6E7A86"/>
          <w:sz w:val="19"/>
        </w:rPr>
        <w:t>Reportes candidatos. Confirme, descarte o complete: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fill="1F5B99"/>
          </w:tcPr>
          <w:p>
            <w:pPr>
              <w:spacing w:after="40" w:before="40"/>
            </w:pPr>
            <w:r>
              <w:rPr>
                <w:rFonts w:ascii="Segoe UI" w:hAnsi="Segoe UI"/>
                <w:b/>
                <w:color w:val="FFFFFF"/>
                <w:sz w:val="18"/>
              </w:rPr>
              <w:t>Reporte</w:t>
            </w:r>
          </w:p>
        </w:tc>
        <w:tc>
          <w:tcPr>
            <w:tcW w:type="dxa" w:w="3061"/>
            <w:shd w:val="clear" w:fill="1F5B99"/>
          </w:tcPr>
          <w:p>
            <w:pPr>
              <w:spacing w:after="40" w:before="40"/>
            </w:pPr>
            <w:r>
              <w:rPr>
                <w:rFonts w:ascii="Segoe UI" w:hAnsi="Segoe UI"/>
                <w:b/>
                <w:color w:val="FFFFFF"/>
                <w:sz w:val="18"/>
              </w:rPr>
              <w:t>Para qué sirve</w:t>
            </w:r>
          </w:p>
        </w:tc>
        <w:tc>
          <w:tcPr>
            <w:tcW w:type="dxa" w:w="1928"/>
            <w:shd w:val="clear" w:fill="1F5B99"/>
          </w:tcPr>
          <w:p>
            <w:pPr>
              <w:spacing w:after="40" w:before="40"/>
            </w:pPr>
            <w:r>
              <w:rPr>
                <w:rFonts w:ascii="Segoe UI" w:hAnsi="Segoe UI"/>
                <w:b/>
                <w:color w:val="FFFFFF"/>
                <w:sz w:val="18"/>
              </w:rPr>
              <w:t>Destinatario</w:t>
            </w:r>
          </w:p>
        </w:tc>
        <w:tc>
          <w:tcPr>
            <w:tcW w:type="dxa" w:w="1361"/>
            <w:shd w:val="clear" w:fill="1F5B99"/>
          </w:tcPr>
          <w:p>
            <w:pPr>
              <w:spacing w:after="40" w:before="40"/>
            </w:pPr>
            <w:r>
              <w:rPr>
                <w:rFonts w:ascii="Segoe UI" w:hAnsi="Segoe UI"/>
                <w:b/>
                <w:color w:val="FFFFFF"/>
                <w:sz w:val="18"/>
              </w:rPr>
              <w:t>Periodicidad</w:t>
            </w:r>
          </w:p>
        </w:tc>
        <w:tc>
          <w:tcPr>
            <w:tcW w:type="dxa" w:w="964"/>
            <w:shd w:val="clear" w:fill="1F5B99"/>
          </w:tcPr>
          <w:p>
            <w:pPr>
              <w:spacing w:after="40" w:before="40"/>
            </w:pPr>
            <w:r>
              <w:rPr>
                <w:rFonts w:ascii="Segoe UI" w:hAnsi="Segoe UI"/>
                <w:b/>
                <w:color w:val="FFFFFF"/>
                <w:sz w:val="18"/>
              </w:rPr>
              <w:t>¿Va?</w:t>
            </w:r>
          </w:p>
        </w:tc>
      </w:tr>
      <w:tr>
        <w:tc>
          <w:tcPr>
            <w:tcW w:type="dxa" w:w="2041"/>
          </w:tcPr>
          <w:p>
            <w:pPr>
              <w:spacing w:after="40" w:before="40"/>
            </w:pPr>
            <w:r>
              <w:rPr>
                <w:rFonts w:ascii="Segoe UI" w:hAnsi="Segoe UI"/>
                <w:color w:val="1C2530"/>
                <w:sz w:val="18"/>
              </w:rPr>
              <w:t>Cumplimiento del plan</w:t>
            </w:r>
          </w:p>
        </w:tc>
        <w:tc>
          <w:tcPr>
            <w:tcW w:type="dxa" w:w="3061"/>
          </w:tcPr>
          <w:p>
            <w:pPr>
              <w:spacing w:after="40" w:before="40"/>
            </w:pPr>
            <w:r>
              <w:rPr>
                <w:rFonts w:ascii="Segoe UI" w:hAnsi="Segoe UI"/>
                <w:color w:val="1C2530"/>
                <w:sz w:val="18"/>
              </w:rPr>
              <w:t>Ejecutado contra programado, por zona y por técnico</w:t>
            </w:r>
          </w:p>
        </w:tc>
        <w:tc>
          <w:tcPr>
            <w:tcW w:type="dxa" w:w="1928"/>
          </w:tcPr>
          <w:p>
            <w:pPr>
              <w:spacing w:after="40" w:before="40"/>
            </w:pPr>
            <w:r>
              <w:rPr>
                <w:rFonts w:ascii="Segoe UI" w:hAnsi="Segoe UI"/>
                <w:color w:val="1C2530"/>
                <w:sz w:val="18"/>
              </w:rPr>
              <w:t>Supervisor, Dirección</w:t>
            </w:r>
          </w:p>
        </w:tc>
        <w:tc>
          <w:tcPr>
            <w:tcW w:type="dxa" w:w="1361"/>
          </w:tcPr>
          <w:p>
            <w:pPr>
              <w:spacing w:after="40" w:before="40"/>
            </w:pPr>
            <w:r>
              <w:rPr>
                <w:rFonts w:ascii="Segoe UI" w:hAnsi="Segoe UI"/>
                <w:color w:val="1C2530"/>
                <w:sz w:val="18"/>
              </w:rPr>
              <w:t>Mensual</w:t>
            </w:r>
          </w:p>
        </w:tc>
        <w:tc>
          <w:tcPr>
            <w:tcW w:type="dxa" w:w="964"/>
          </w:tcPr>
          <w:p>
            <w:pPr>
              <w:spacing w:after="40" w:before="40"/>
            </w:pPr>
            <w:r>
              <w:rPr>
                <w:rFonts w:ascii="Segoe UI" w:hAnsi="Segoe UI"/>
                <w:color w:val="1C2530"/>
                <w:sz w:val="18"/>
              </w:rPr>
            </w:r>
          </w:p>
        </w:tc>
      </w:tr>
      <w:tr>
        <w:tc>
          <w:tcPr>
            <w:tcW w:type="dxa" w:w="2041"/>
            <w:shd w:val="clear" w:fill="F4F6F8"/>
          </w:tcPr>
          <w:p>
            <w:pPr>
              <w:spacing w:after="40" w:before="40"/>
            </w:pPr>
            <w:r>
              <w:rPr>
                <w:rFonts w:ascii="Segoe UI" w:hAnsi="Segoe UI"/>
                <w:color w:val="1C2530"/>
                <w:sz w:val="18"/>
              </w:rPr>
              <w:t>Activos fuera de servicio</w:t>
            </w:r>
          </w:p>
        </w:tc>
        <w:tc>
          <w:tcPr>
            <w:tcW w:type="dxa" w:w="3061"/>
            <w:shd w:val="clear" w:fill="F4F6F8"/>
          </w:tcPr>
          <w:p>
            <w:pPr>
              <w:spacing w:after="40" w:before="40"/>
            </w:pPr>
            <w:r>
              <w:rPr>
                <w:rFonts w:ascii="Segoe UI" w:hAnsi="Segoe UI"/>
                <w:color w:val="1C2530"/>
                <w:sz w:val="18"/>
              </w:rPr>
              <w:t>Qué está caído, desde cuándo y quién lo atiende</w:t>
            </w:r>
          </w:p>
        </w:tc>
        <w:tc>
          <w:tcPr>
            <w:tcW w:type="dxa" w:w="1928"/>
            <w:shd w:val="clear" w:fill="F4F6F8"/>
          </w:tcPr>
          <w:p>
            <w:pPr>
              <w:spacing w:after="40" w:before="40"/>
            </w:pPr>
            <w:r>
              <w:rPr>
                <w:rFonts w:ascii="Segoe UI" w:hAnsi="Segoe UI"/>
                <w:color w:val="1C2530"/>
                <w:sz w:val="18"/>
              </w:rPr>
              <w:t>CCO</w:t>
            </w:r>
          </w:p>
        </w:tc>
        <w:tc>
          <w:tcPr>
            <w:tcW w:type="dxa" w:w="1361"/>
            <w:shd w:val="clear" w:fill="F4F6F8"/>
          </w:tcPr>
          <w:p>
            <w:pPr>
              <w:spacing w:after="40" w:before="40"/>
            </w:pPr>
            <w:r>
              <w:rPr>
                <w:rFonts w:ascii="Segoe UI" w:hAnsi="Segoe UI"/>
                <w:color w:val="1C2530"/>
                <w:sz w:val="18"/>
              </w:rPr>
              <w:t>Diario</w:t>
            </w:r>
          </w:p>
        </w:tc>
        <w:tc>
          <w:tcPr>
            <w:tcW w:type="dxa" w:w="964"/>
            <w:shd w:val="clear" w:fill="F4F6F8"/>
          </w:tcPr>
          <w:p>
            <w:pPr>
              <w:spacing w:after="40" w:before="40"/>
            </w:pPr>
            <w:r>
              <w:rPr>
                <w:rFonts w:ascii="Segoe UI" w:hAnsi="Segoe UI"/>
                <w:color w:val="1C2530"/>
                <w:sz w:val="18"/>
              </w:rPr>
            </w:r>
          </w:p>
        </w:tc>
      </w:tr>
      <w:tr>
        <w:tc>
          <w:tcPr>
            <w:tcW w:type="dxa" w:w="2041"/>
          </w:tcPr>
          <w:p>
            <w:pPr>
              <w:spacing w:after="40" w:before="40"/>
            </w:pPr>
            <w:r>
              <w:rPr>
                <w:rFonts w:ascii="Segoe UI" w:hAnsi="Segoe UI"/>
                <w:color w:val="1C2530"/>
                <w:sz w:val="18"/>
              </w:rPr>
              <w:t>Hoja de vida del activo</w:t>
            </w:r>
          </w:p>
        </w:tc>
        <w:tc>
          <w:tcPr>
            <w:tcW w:type="dxa" w:w="3061"/>
          </w:tcPr>
          <w:p>
            <w:pPr>
              <w:spacing w:after="40" w:before="40"/>
            </w:pPr>
            <w:r>
              <w:rPr>
                <w:rFonts w:ascii="Segoe UI" w:hAnsi="Segoe UI"/>
                <w:color w:val="1C2530"/>
                <w:sz w:val="18"/>
              </w:rPr>
              <w:t>Historial completo de intervenciones de un equipo</w:t>
            </w:r>
          </w:p>
        </w:tc>
        <w:tc>
          <w:tcPr>
            <w:tcW w:type="dxa" w:w="1928"/>
          </w:tcPr>
          <w:p>
            <w:pPr>
              <w:spacing w:after="40" w:before="40"/>
            </w:pPr>
            <w:r>
              <w:rPr>
                <w:rFonts w:ascii="Segoe UI" w:hAnsi="Segoe UI"/>
                <w:color w:val="1C2530"/>
                <w:sz w:val="18"/>
              </w:rPr>
              <w:t>Supervisor, Interventoría</w:t>
            </w:r>
          </w:p>
        </w:tc>
        <w:tc>
          <w:tcPr>
            <w:tcW w:type="dxa" w:w="1361"/>
          </w:tcPr>
          <w:p>
            <w:pPr>
              <w:spacing w:after="40" w:before="40"/>
            </w:pPr>
            <w:r>
              <w:rPr>
                <w:rFonts w:ascii="Segoe UI" w:hAnsi="Segoe UI"/>
                <w:color w:val="1C2530"/>
                <w:sz w:val="18"/>
              </w:rPr>
              <w:t>A demanda</w:t>
            </w:r>
          </w:p>
        </w:tc>
        <w:tc>
          <w:tcPr>
            <w:tcW w:type="dxa" w:w="964"/>
          </w:tcPr>
          <w:p>
            <w:pPr>
              <w:spacing w:after="40" w:before="40"/>
            </w:pPr>
            <w:r>
              <w:rPr>
                <w:rFonts w:ascii="Segoe UI" w:hAnsi="Segoe UI"/>
                <w:color w:val="1C2530"/>
                <w:sz w:val="18"/>
              </w:rPr>
            </w:r>
          </w:p>
        </w:tc>
      </w:tr>
      <w:tr>
        <w:tc>
          <w:tcPr>
            <w:tcW w:type="dxa" w:w="2041"/>
            <w:shd w:val="clear" w:fill="F4F6F8"/>
          </w:tcPr>
          <w:p>
            <w:pPr>
              <w:spacing w:after="40" w:before="40"/>
            </w:pPr>
            <w:r>
              <w:rPr>
                <w:rFonts w:ascii="Segoe UI" w:hAnsi="Segoe UI"/>
                <w:color w:val="1C2530"/>
                <w:sz w:val="18"/>
              </w:rPr>
              <w:t>Certificado de mantenimiento</w:t>
            </w:r>
          </w:p>
        </w:tc>
        <w:tc>
          <w:tcPr>
            <w:tcW w:type="dxa" w:w="3061"/>
            <w:shd w:val="clear" w:fill="F4F6F8"/>
          </w:tcPr>
          <w:p>
            <w:pPr>
              <w:spacing w:after="40" w:before="40"/>
            </w:pPr>
            <w:r>
              <w:rPr>
                <w:rFonts w:ascii="Segoe UI" w:hAnsi="Segoe UI"/>
                <w:color w:val="1C2530"/>
                <w:sz w:val="18"/>
              </w:rPr>
              <w:t>Constancia de una intervención con evidencia y firma</w:t>
            </w:r>
          </w:p>
        </w:tc>
        <w:tc>
          <w:tcPr>
            <w:tcW w:type="dxa" w:w="1928"/>
            <w:shd w:val="clear" w:fill="F4F6F8"/>
          </w:tcPr>
          <w:p>
            <w:pPr>
              <w:spacing w:after="40" w:before="40"/>
            </w:pPr>
            <w:r>
              <w:rPr>
                <w:rFonts w:ascii="Segoe UI" w:hAnsi="Segoe UI"/>
                <w:color w:val="1C2530"/>
                <w:sz w:val="18"/>
              </w:rPr>
              <w:t>Interventoría</w:t>
            </w:r>
          </w:p>
        </w:tc>
        <w:tc>
          <w:tcPr>
            <w:tcW w:type="dxa" w:w="1361"/>
            <w:shd w:val="clear" w:fill="F4F6F8"/>
          </w:tcPr>
          <w:p>
            <w:pPr>
              <w:spacing w:after="40" w:before="40"/>
            </w:pPr>
            <w:r>
              <w:rPr>
                <w:rFonts w:ascii="Segoe UI" w:hAnsi="Segoe UI"/>
                <w:color w:val="1C2530"/>
                <w:sz w:val="18"/>
              </w:rPr>
              <w:t>Por intervención</w:t>
            </w:r>
          </w:p>
        </w:tc>
        <w:tc>
          <w:tcPr>
            <w:tcW w:type="dxa" w:w="964"/>
            <w:shd w:val="clear" w:fill="F4F6F8"/>
          </w:tcPr>
          <w:p>
            <w:pPr>
              <w:spacing w:after="40" w:before="40"/>
            </w:pPr>
            <w:r>
              <w:rPr>
                <w:rFonts w:ascii="Segoe UI" w:hAnsi="Segoe UI"/>
                <w:color w:val="1C2530"/>
                <w:sz w:val="18"/>
              </w:rPr>
            </w:r>
          </w:p>
        </w:tc>
      </w:tr>
      <w:tr>
        <w:tc>
          <w:tcPr>
            <w:tcW w:type="dxa" w:w="2041"/>
          </w:tcPr>
          <w:p>
            <w:pPr>
              <w:spacing w:after="40" w:before="40"/>
            </w:pPr>
            <w:r>
              <w:rPr>
                <w:rFonts w:ascii="Segoe UI" w:hAnsi="Segoe UI"/>
                <w:color w:val="1C2530"/>
                <w:sz w:val="18"/>
              </w:rPr>
              <w:t>Productividad del técnico</w:t>
            </w:r>
          </w:p>
        </w:tc>
        <w:tc>
          <w:tcPr>
            <w:tcW w:type="dxa" w:w="3061"/>
          </w:tcPr>
          <w:p>
            <w:pPr>
              <w:spacing w:after="40" w:before="40"/>
            </w:pPr>
            <w:r>
              <w:rPr>
                <w:rFonts w:ascii="Segoe UI" w:hAnsi="Segoe UI"/>
                <w:color w:val="1C2530"/>
                <w:sz w:val="18"/>
              </w:rPr>
              <w:t>Mantenimientos ejecutados y tiempo promedio</w:t>
            </w:r>
          </w:p>
        </w:tc>
        <w:tc>
          <w:tcPr>
            <w:tcW w:type="dxa" w:w="1928"/>
          </w:tcPr>
          <w:p>
            <w:pPr>
              <w:spacing w:after="40" w:before="40"/>
            </w:pPr>
            <w:r>
              <w:rPr>
                <w:rFonts w:ascii="Segoe UI" w:hAnsi="Segoe UI"/>
                <w:color w:val="1C2530"/>
                <w:sz w:val="18"/>
              </w:rPr>
              <w:t>Supervisor</w:t>
            </w:r>
          </w:p>
        </w:tc>
        <w:tc>
          <w:tcPr>
            <w:tcW w:type="dxa" w:w="1361"/>
          </w:tcPr>
          <w:p>
            <w:pPr>
              <w:spacing w:after="40" w:before="40"/>
            </w:pPr>
            <w:r>
              <w:rPr>
                <w:rFonts w:ascii="Segoe UI" w:hAnsi="Segoe UI"/>
                <w:color w:val="1C2530"/>
                <w:sz w:val="18"/>
              </w:rPr>
              <w:t>Semanal</w:t>
            </w:r>
          </w:p>
        </w:tc>
        <w:tc>
          <w:tcPr>
            <w:tcW w:type="dxa" w:w="964"/>
          </w:tcPr>
          <w:p>
            <w:pPr>
              <w:spacing w:after="40" w:before="40"/>
            </w:pPr>
            <w:r>
              <w:rPr>
                <w:rFonts w:ascii="Segoe UI" w:hAnsi="Segoe UI"/>
                <w:color w:val="1C2530"/>
                <w:sz w:val="18"/>
              </w:rPr>
            </w:r>
          </w:p>
        </w:tc>
      </w:tr>
      <w:tr>
        <w:tc>
          <w:tcPr>
            <w:tcW w:type="dxa" w:w="2041"/>
            <w:shd w:val="clear" w:fill="F4F6F8"/>
          </w:tcPr>
          <w:p>
            <w:pPr>
              <w:spacing w:after="40" w:before="40"/>
            </w:pPr>
            <w:r>
              <w:rPr>
                <w:rFonts w:ascii="Segoe UI" w:hAnsi="Segoe UI"/>
                <w:color w:val="1C2530"/>
                <w:sz w:val="18"/>
              </w:rPr>
              <w:t>Excepciones de GPS</w:t>
            </w:r>
          </w:p>
        </w:tc>
        <w:tc>
          <w:tcPr>
            <w:tcW w:type="dxa" w:w="3061"/>
            <w:shd w:val="clear" w:fill="F4F6F8"/>
          </w:tcPr>
          <w:p>
            <w:pPr>
              <w:spacing w:after="40" w:before="40"/>
            </w:pPr>
            <w:r>
              <w:rPr>
                <w:rFonts w:ascii="Segoe UI" w:hAnsi="Segoe UI"/>
                <w:color w:val="1C2530"/>
                <w:sz w:val="18"/>
              </w:rPr>
              <w:t>Cierres fuera de rango o de baja precisión</w:t>
            </w:r>
          </w:p>
        </w:tc>
        <w:tc>
          <w:tcPr>
            <w:tcW w:type="dxa" w:w="1928"/>
            <w:shd w:val="clear" w:fill="F4F6F8"/>
          </w:tcPr>
          <w:p>
            <w:pPr>
              <w:spacing w:after="40" w:before="40"/>
            </w:pPr>
            <w:r>
              <w:rPr>
                <w:rFonts w:ascii="Segoe UI" w:hAnsi="Segoe UI"/>
                <w:color w:val="1C2530"/>
                <w:sz w:val="18"/>
              </w:rPr>
              <w:t>Supervisor</w:t>
            </w:r>
          </w:p>
        </w:tc>
        <w:tc>
          <w:tcPr>
            <w:tcW w:type="dxa" w:w="1361"/>
            <w:shd w:val="clear" w:fill="F4F6F8"/>
          </w:tcPr>
          <w:p>
            <w:pPr>
              <w:spacing w:after="40" w:before="40"/>
            </w:pPr>
            <w:r>
              <w:rPr>
                <w:rFonts w:ascii="Segoe UI" w:hAnsi="Segoe UI"/>
                <w:color w:val="1C2530"/>
                <w:sz w:val="18"/>
              </w:rPr>
              <w:t>Semanal</w:t>
            </w:r>
          </w:p>
        </w:tc>
        <w:tc>
          <w:tcPr>
            <w:tcW w:type="dxa" w:w="964"/>
            <w:shd w:val="clear" w:fill="F4F6F8"/>
          </w:tcPr>
          <w:p>
            <w:pPr>
              <w:spacing w:after="40" w:before="40"/>
            </w:pPr>
            <w:r>
              <w:rPr>
                <w:rFonts w:ascii="Segoe UI" w:hAnsi="Segoe UI"/>
                <w:color w:val="1C2530"/>
                <w:sz w:val="18"/>
              </w:rPr>
            </w:r>
          </w:p>
        </w:tc>
      </w:tr>
    </w:tbl>
    <w:p>
      <w:pPr>
        <w:spacing w:after="0"/>
      </w:pP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¿Qué debe mostrar cada reporte y para tomar qué decisión?</w:t>
      </w:r>
    </w:p>
    <w:p>
      <w:pPr>
        <w:pStyle w:val="ListBullet"/>
        <w:spacing w:after="60"/>
        <w:ind w:left="454"/>
      </w:pPr>
      <w:r>
        <w:rPr>
          <w:rFonts w:ascii="Segoe UI" w:hAnsi="Segoe UI"/>
          <w:color w:val="1C2530"/>
          <w:sz w:val="21"/>
        </w:rPr>
        <w:t>¿Quién lo recibe y con qué periodicidad: diario, semanal, mensual?</w:t>
      </w:r>
    </w:p>
    <w:p>
      <w:pPr>
        <w:pStyle w:val="ListBullet"/>
        <w:spacing w:after="60"/>
        <w:ind w:left="454"/>
      </w:pPr>
      <w:r>
        <w:rPr>
          <w:rFonts w:ascii="Segoe UI" w:hAnsi="Segoe UI"/>
          <w:color w:val="1C2530"/>
          <w:sz w:val="21"/>
        </w:rPr>
        <w:t>¿En qué formato: pantalla, PDF por correo, Excel exportable?</w:t>
      </w:r>
    </w:p>
    <w:p>
      <w:pPr>
        <w:pStyle w:val="ListBullet"/>
        <w:spacing w:after="60"/>
        <w:ind w:left="454"/>
      </w:pPr>
      <w:r>
        <w:rPr>
          <w:rFonts w:ascii="Segoe UI" w:hAnsi="Segoe UI"/>
          <w:color w:val="1C2530"/>
          <w:sz w:val="21"/>
        </w:rPr>
        <w:t>¿Alguno se entrega a un tercero, interventoría o ANI, con formato obligatorio?</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tablero y los entregables, y hacia atrás, la validación de que los formularios capturan lo necesario.</w:t>
      </w:r>
    </w:p>
    <w:p>
      <w:pPr>
        <w:keepNext/>
        <w:spacing w:before="280" w:after="40"/>
      </w:pPr>
      <w:r>
        <w:rPr>
          <w:rFonts w:ascii="Segoe UI" w:hAnsi="Segoe UI"/>
          <w:b/>
          <w:color w:val="1F5B99"/>
          <w:sz w:val="26"/>
        </w:rPr>
        <w:t xml:space="preserve">D-13.  </w:t>
      </w:r>
      <w:r>
        <w:rPr>
          <w:rFonts w:ascii="Segoe UI" w:hAnsi="Segoe UI"/>
          <w:b/>
          <w:color w:val="1C2530"/>
          <w:sz w:val="26"/>
        </w:rPr>
        <w:t>Definición de los indicadores</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Se habla de cumplimiento, disponibilidad y tiempo de atención sin fórmula acordada.</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La disponibilidad de activos puede significar tres cosas distintas según se mida por tiempo, por cantidad o ponderada por criticidad, y cada una da un número diferente ante la misma realidad. Si ese número va a un informe de interventoría, la definición debe estar acordada antes y no después.</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Fijar por escrito la fórmula de cada indicador antes de construir el tablero.</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Cumplimiento: ¿se calcula sobre órdenes cerradas en fecha, o basta con que se hayan ejecutado? ¿Una orden cerrada con excepción de GPS cuenta como cumplida?</w:t>
      </w:r>
    </w:p>
    <w:p>
      <w:pPr>
        <w:pStyle w:val="ListBullet"/>
        <w:spacing w:after="60"/>
        <w:ind w:left="454"/>
      </w:pPr>
      <w:r>
        <w:rPr>
          <w:rFonts w:ascii="Segoe UI" w:hAnsi="Segoe UI"/>
          <w:color w:val="1C2530"/>
          <w:sz w:val="21"/>
        </w:rPr>
        <w:t>Disponibilidad: ¿por tiempo fuera de servicio, por cantidad de activos, o ponderada por criticidad?</w:t>
      </w:r>
    </w:p>
    <w:p>
      <w:pPr>
        <w:pStyle w:val="ListBullet"/>
        <w:spacing w:after="60"/>
        <w:ind w:left="454"/>
      </w:pPr>
      <w:r>
        <w:rPr>
          <w:rFonts w:ascii="Segoe UI" w:hAnsi="Segoe UI"/>
          <w:color w:val="1C2530"/>
          <w:sz w:val="21"/>
        </w:rPr>
        <w:t>¿Existe una meta contractual de disponibilidad o de tiempo de atención frente a la ANI que el sistema deba reportar?</w:t>
      </w:r>
    </w:p>
    <w:p>
      <w:pPr>
        <w:pStyle w:val="ListBullet"/>
        <w:spacing w:after="60"/>
        <w:ind w:left="454"/>
      </w:pPr>
      <w:r>
        <w:rPr>
          <w:rFonts w:ascii="Segoe UI" w:hAnsi="Segoe UI"/>
          <w:color w:val="1C2530"/>
          <w:sz w:val="21"/>
        </w:rPr>
        <w:t>¿Interventoría tendrá acceso al sistema, o solo recibe reportes exportados?</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tablero de indicadores y cualquier reporte a terceros.</w:t>
      </w:r>
    </w:p>
    <w:p>
      <w:pPr>
        <w:keepNext/>
        <w:spacing w:before="280" w:after="120"/>
      </w:pPr>
      <w:r>
        <w:rPr>
          <w:rFonts w:ascii="Segoe UI" w:hAnsi="Segoe UI"/>
          <w:b/>
          <w:color w:val="6E7A86"/>
          <w:sz w:val="22"/>
        </w:rPr>
        <w:t>Bloque E. Gobierno</w:t>
      </w:r>
    </w:p>
    <w:p>
      <w:pPr>
        <w:keepNext/>
        <w:spacing w:before="280" w:after="40"/>
      </w:pPr>
      <w:r>
        <w:rPr>
          <w:rFonts w:ascii="Segoe UI" w:hAnsi="Segoe UI"/>
          <w:b/>
          <w:color w:val="1F5B99"/>
          <w:sz w:val="26"/>
        </w:rPr>
        <w:t xml:space="preserve">D-14.  </w:t>
      </w:r>
      <w:r>
        <w:rPr>
          <w:rFonts w:ascii="Segoe UI" w:hAnsi="Segoe UI"/>
          <w:b/>
          <w:color w:val="1C2530"/>
          <w:sz w:val="26"/>
        </w:rPr>
        <w:t>Usuarios, licenciamiento y gobierno del cambio</w:t>
      </w:r>
    </w:p>
    <w:p>
      <w:pPr>
        <w:spacing w:after="40" w:before="120"/>
        <w:ind w:left="0"/>
      </w:pPr>
      <w:r>
        <w:rPr>
          <w:rFonts w:ascii="Segoe UI" w:hAnsi="Segoe UI"/>
          <w:b/>
          <w:i w:val="0"/>
          <w:color w:val="6E7A86"/>
          <w:sz w:val="19"/>
        </w:rPr>
        <w:t>Qué encontramos</w:t>
      </w:r>
    </w:p>
    <w:p>
      <w:pPr>
        <w:spacing w:after="120" w:before="0"/>
        <w:ind w:left="0"/>
      </w:pPr>
      <w:r>
        <w:rPr>
          <w:rFonts w:ascii="Segoe UI" w:hAnsi="Segoe UI"/>
          <w:b w:val="0"/>
          <w:i w:val="0"/>
          <w:color w:val="1C2530"/>
          <w:sz w:val="21"/>
        </w:rPr>
        <w:t>Hay 11 usuarios registrados, dos de ellos inactivos. El presupuesto declarado en el plan original fue de 100 USD mensuales, y la plataforma se cobra por usuario activo. No hay definición de quién puede modificar la aplicación en producción.</w:t>
      </w:r>
    </w:p>
    <w:p>
      <w:pPr>
        <w:spacing w:after="40" w:before="0"/>
        <w:ind w:left="0"/>
      </w:pPr>
      <w:r>
        <w:rPr>
          <w:rFonts w:ascii="Segoe UI" w:hAnsi="Segoe UI"/>
          <w:b/>
          <w:i w:val="0"/>
          <w:color w:val="6E7A86"/>
          <w:sz w:val="19"/>
        </w:rPr>
        <w:t>Por qué importa</w:t>
      </w:r>
    </w:p>
    <w:p>
      <w:pPr>
        <w:spacing w:after="120" w:before="0"/>
        <w:ind w:left="0"/>
      </w:pPr>
      <w:r>
        <w:rPr>
          <w:rFonts w:ascii="Segoe UI" w:hAnsi="Segoe UI"/>
          <w:b w:val="0"/>
          <w:i w:val="0"/>
          <w:color w:val="1C2530"/>
          <w:sz w:val="21"/>
        </w:rPr>
        <w:t>El costo escala con el número de usuarios, y sin un responsable de cambios cualquiera puede alterar un formulario en producción y romper la comparabilidad de los datos.</w:t>
      </w:r>
    </w:p>
    <w:p>
      <w:pPr>
        <w:spacing w:after="40" w:before="0"/>
        <w:ind w:left="0"/>
      </w:pPr>
      <w:r>
        <w:rPr>
          <w:rFonts w:ascii="Segoe UI" w:hAnsi="Segoe UI"/>
          <w:b/>
          <w:i w:val="0"/>
          <w:color w:val="6E7A86"/>
          <w:sz w:val="19"/>
        </w:rPr>
        <w:t>Qué proponemos</w:t>
      </w:r>
    </w:p>
    <w:p>
      <w:pPr>
        <w:spacing w:after="120" w:before="0"/>
        <w:ind w:left="0"/>
      </w:pPr>
      <w:r>
        <w:rPr>
          <w:rFonts w:ascii="Segoe UI" w:hAnsi="Segoe UI"/>
          <w:b w:val="0"/>
          <w:i w:val="0"/>
          <w:color w:val="1C2530"/>
          <w:sz w:val="21"/>
        </w:rPr>
        <w:t>Definir el número de usuarios en régimen, el responsable funcional que autoriza cambios y la política de retención de evidencia.</w:t>
      </w:r>
    </w:p>
    <w:p>
      <w:pPr>
        <w:spacing w:after="60" w:before="0"/>
        <w:ind w:left="0"/>
      </w:pPr>
      <w:r>
        <w:rPr>
          <w:rFonts w:ascii="Segoe UI" w:hAnsi="Segoe UI"/>
          <w:b/>
          <w:i w:val="0"/>
          <w:color w:val="B0700C"/>
          <w:sz w:val="19"/>
        </w:rPr>
        <w:t>Necesitamos que responda</w:t>
      </w:r>
    </w:p>
    <w:p>
      <w:pPr>
        <w:pStyle w:val="ListBullet"/>
        <w:spacing w:after="60"/>
        <w:ind w:left="454"/>
      </w:pPr>
      <w:r>
        <w:rPr>
          <w:rFonts w:ascii="Segoe UI" w:hAnsi="Segoe UI"/>
          <w:color w:val="1C2530"/>
          <w:sz w:val="21"/>
        </w:rPr>
        <w:t>¿Cuántos técnicos usarán el sistema en régimen, más allá de los 10 del piloto?</w:t>
      </w:r>
    </w:p>
    <w:p>
      <w:pPr>
        <w:pStyle w:val="ListBullet"/>
        <w:spacing w:after="60"/>
        <w:ind w:left="454"/>
      </w:pPr>
      <w:r>
        <w:rPr>
          <w:rFonts w:ascii="Segoe UI" w:hAnsi="Segoe UI"/>
          <w:color w:val="1C2530"/>
          <w:sz w:val="21"/>
        </w:rPr>
        <w:t>¿El personal de interventoría o de la ANI tendrá acceso, aunque sea de consulta?</w:t>
      </w:r>
    </w:p>
    <w:p>
      <w:pPr>
        <w:pStyle w:val="ListBullet"/>
        <w:spacing w:after="60"/>
        <w:ind w:left="454"/>
      </w:pPr>
      <w:r>
        <w:rPr>
          <w:rFonts w:ascii="Segoe UI" w:hAnsi="Segoe UI"/>
          <w:color w:val="1C2530"/>
          <w:sz w:val="21"/>
        </w:rPr>
        <w:t>¿Quién es el responsable funcional que autoriza cambios en producción?</w:t>
      </w:r>
    </w:p>
    <w:p>
      <w:pPr>
        <w:pStyle w:val="ListBullet"/>
        <w:spacing w:after="60"/>
        <w:ind w:left="454"/>
      </w:pPr>
      <w:r>
        <w:rPr>
          <w:rFonts w:ascii="Segoe UI" w:hAnsi="Segoe UI"/>
          <w:color w:val="1C2530"/>
          <w:sz w:val="21"/>
        </w:rPr>
        <w:t>¿Cuánto tiempo debe conservarse la evidencia fotográfica y dónde se respalda?</w:t>
      </w:r>
    </w:p>
    <w:tbl>
      <w:tblPr>
        <w:tblW w:type="auto" w:w="0"/>
        <w:jc w:val="center"/>
        <w:tblLook w:firstColumn="1" w:firstRow="1" w:lastColumn="0" w:lastRow="0" w:noHBand="0" w:noVBand="1" w:val="04A0"/>
      </w:tblPr>
      <w:tblGrid>
        <w:gridCol w:w="9746"/>
      </w:tblGrid>
      <w:tr>
        <w:tc>
          <w:tcPr>
            <w:tcW w:type="dxa" w:w="9746"/>
            <w:shd w:val="clear" w:fill="FFFDF5"/>
            <w:tcBorders>
              <w:top w:val="single" w:sz="8" w:color="B0700C"/>
              <w:left w:val="single" w:sz="8" w:color="B0700C"/>
              <w:bottom w:val="single" w:sz="8" w:color="B0700C"/>
              <w:right w:val="single" w:sz="8" w:color="B0700C"/>
            </w:tcBorders>
          </w:tcPr>
          <w:p>
            <w:pPr>
              <w:spacing w:after="40"/>
            </w:pPr>
            <w:r>
              <w:rPr>
                <w:rFonts w:ascii="Segoe UI" w:hAnsi="Segoe UI"/>
                <w:b/>
                <w:color w:val="B0700C"/>
                <w:sz w:val="17"/>
              </w:rPr>
              <w:t>RESPUESTA</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p>
            <w:pPr>
              <w:spacing w:after="0" w:before="0"/>
            </w:pPr>
            <w:r>
              <w:rPr>
                <w:rFonts w:ascii="Segoe UI" w:hAnsi="Segoe UI"/>
                <w:sz w:val="21"/>
              </w:rPr>
              <w:t xml:space="preserve"> </w:t>
            </w:r>
          </w:p>
        </w:tc>
      </w:tr>
    </w:tbl>
    <w:p>
      <w:pPr>
        <w:spacing w:after="0"/>
      </w:pPr>
    </w:p>
    <w:p>
      <w:pPr>
        <w:spacing w:after="200" w:before="0"/>
        <w:ind w:left="0"/>
      </w:pPr>
      <w:r>
        <w:rPr>
          <w:rFonts w:ascii="Segoe UI" w:hAnsi="Segoe UI"/>
          <w:b w:val="0"/>
          <w:i/>
          <w:color w:val="6E7A86"/>
          <w:sz w:val="18"/>
        </w:rPr>
        <w:t>Desbloquea: El dimensionamiento de licencias y el procedimiento de control de cambios.</w:t>
      </w:r>
    </w:p>
    <w:p>
      <w:r>
        <w:br w:type="page"/>
      </w:r>
    </w:p>
    <w:p>
      <w:pPr>
        <w:keepNext/>
        <w:spacing w:before="360" w:after="120"/>
      </w:pPr>
      <w:r>
        <w:rPr>
          <w:rFonts w:ascii="Segoe UI" w:hAnsi="Segoe UI"/>
          <w:b/>
          <w:color w:val="1C2530"/>
          <w:sz w:val="32"/>
        </w:rPr>
        <w:t>6. De sus respuestas al cronograma</w:t>
      </w:r>
    </w:p>
    <w:p>
      <w:pPr>
        <w:spacing w:after="120" w:before="0"/>
        <w:ind w:left="0"/>
      </w:pPr>
      <w:r>
        <w:rPr>
          <w:rFonts w:ascii="Segoe UI" w:hAnsi="Segoe UI"/>
          <w:b w:val="0"/>
          <w:i w:val="0"/>
          <w:color w:val="1C2530"/>
          <w:sz w:val="21"/>
        </w:rPr>
        <w:t>El cronograma no está escrito porque depende de esta mesa. Este es el mapa de dependencias: qué habilita cada decisión y en qué orden se ejecuta el trabajo.</w:t>
      </w:r>
    </w:p>
    <w:p>
      <w:pPr>
        <w:spacing w:before="160" w:after="60"/>
        <w:jc w:val="center"/>
      </w:pPr>
      <w:r>
        <w:drawing>
          <wp:inline xmlns:a="http://schemas.openxmlformats.org/drawingml/2006/main" xmlns:pic="http://schemas.openxmlformats.org/drawingml/2006/picture">
            <wp:extent cx="5940000" cy="2851200"/>
            <wp:docPr id="5" name="Picture 5"/>
            <wp:cNvGraphicFramePr>
              <a:graphicFrameLocks noChangeAspect="1"/>
            </wp:cNvGraphicFramePr>
            <a:graphic>
              <a:graphicData uri="http://schemas.openxmlformats.org/drawingml/2006/picture">
                <pic:pic>
                  <pic:nvPicPr>
                    <pic:cNvPr id="0" name="fig_05_ruta_critica.png"/>
                    <pic:cNvPicPr/>
                  </pic:nvPicPr>
                  <pic:blipFill>
                    <a:blip r:embed="rId14"/>
                    <a:stretch>
                      <a:fillRect/>
                    </a:stretch>
                  </pic:blipFill>
                  <pic:spPr>
                    <a:xfrm>
                      <a:off x="0" y="0"/>
                      <a:ext cx="5940000" cy="2851200"/>
                    </a:xfrm>
                    <a:prstGeom prst="rect"/>
                  </pic:spPr>
                </pic:pic>
              </a:graphicData>
            </a:graphic>
          </wp:inline>
        </w:drawing>
      </w:r>
    </w:p>
    <w:p>
      <w:pPr>
        <w:spacing w:after="240"/>
        <w:jc w:val="center"/>
      </w:pPr>
      <w:r>
        <w:rPr>
          <w:rFonts w:ascii="Segoe UI" w:hAnsi="Segoe UI"/>
          <w:i/>
          <w:color w:val="6E7A86"/>
          <w:sz w:val="17"/>
        </w:rPr>
        <w:t>Figura 5. Secuencia de ejecución y ruta crítica del proyecto.</w:t>
      </w:r>
    </w:p>
    <w:p>
      <w:pPr>
        <w:spacing w:after="120" w:before="80"/>
        <w:ind w:left="0"/>
      </w:pPr>
      <w:r>
        <w:rPr>
          <w:rFonts w:ascii="Segoe UI" w:hAnsi="Segoe UI"/>
          <w:b/>
          <w:i w:val="0"/>
          <w:color w:val="1C2530"/>
          <w:sz w:val="21"/>
        </w:rPr>
        <w:t>La ruta crítica son D-01 y D-09. Levantar las coordenadas de los 34 activos y redactar los bancos de preguntas son trabajo del equipo de la Concesión, no de configuración, y ambas se miden en semanas. El cronograma completo lo fijan esas dos y no las demás.</w:t>
      </w:r>
    </w:p>
    <w:p>
      <w:pPr>
        <w:keepNext/>
        <w:spacing w:before="280" w:after="120"/>
      </w:pPr>
      <w:r>
        <w:rPr>
          <w:rFonts w:ascii="Segoe UI" w:hAnsi="Segoe UI"/>
          <w:b/>
          <w:color w:val="1C2530"/>
          <w:sz w:val="26"/>
        </w:rPr>
        <w:t>Orden de ejecución una vez cerrada la mesa</w:t>
      </w:r>
    </w:p>
    <w:p>
      <w:pPr>
        <w:spacing w:after="80"/>
        <w:ind w:left="340"/>
      </w:pPr>
      <w:r>
        <w:rPr>
          <w:rFonts w:ascii="Segoe UI" w:hAnsi="Segoe UI"/>
          <w:b/>
          <w:color w:val="1F5B99"/>
          <w:sz w:val="21"/>
        </w:rPr>
        <w:t xml:space="preserve">1. Definición. </w:t>
      </w:r>
      <w:r>
        <w:rPr>
          <w:rFonts w:ascii="Segoe UI" w:hAnsi="Segoe UI"/>
          <w:color w:val="1C2530"/>
          <w:sz w:val="21"/>
        </w:rPr>
        <w:t>Esta mesa y sus respuestas, con acta firmada.</w:t>
      </w:r>
    </w:p>
    <w:p>
      <w:pPr>
        <w:spacing w:after="80"/>
        <w:ind w:left="340"/>
      </w:pPr>
      <w:r>
        <w:rPr>
          <w:rFonts w:ascii="Segoe UI" w:hAnsi="Segoe UI"/>
          <w:b/>
          <w:color w:val="1F5B99"/>
          <w:sz w:val="21"/>
        </w:rPr>
        <w:t xml:space="preserve">2. Datos. </w:t>
      </w:r>
      <w:r>
        <w:rPr>
          <w:rFonts w:ascii="Segoe UI" w:hAnsi="Segoe UI"/>
          <w:color w:val="1C2530"/>
          <w:sz w:val="21"/>
        </w:rPr>
        <w:t>Coordenadas reales, mapeo de formulario por tipo de activo, realineación de sedes y construcción de los bancos de preguntas priorizados.</w:t>
      </w:r>
    </w:p>
    <w:p>
      <w:pPr>
        <w:spacing w:after="80"/>
        <w:ind w:left="340"/>
      </w:pPr>
      <w:r>
        <w:rPr>
          <w:rFonts w:ascii="Segoe UI" w:hAnsi="Segoe UI"/>
          <w:b/>
          <w:color w:val="1F5B99"/>
          <w:sz w:val="21"/>
        </w:rPr>
        <w:t xml:space="preserve">3. Configuración. </w:t>
      </w:r>
      <w:r>
        <w:rPr>
          <w:rFonts w:ascii="Segoe UI" w:hAnsi="Segoe UI"/>
          <w:color w:val="1C2530"/>
          <w:sz w:val="21"/>
        </w:rPr>
        <w:t>Reglas de validación, filtro de seguridad, formularios, bots de notificación y reportes.</w:t>
      </w:r>
    </w:p>
    <w:p>
      <w:pPr>
        <w:spacing w:after="80"/>
        <w:ind w:left="340"/>
      </w:pPr>
      <w:r>
        <w:rPr>
          <w:rFonts w:ascii="Segoe UI" w:hAnsi="Segoe UI"/>
          <w:b/>
          <w:color w:val="1F5B99"/>
          <w:sz w:val="21"/>
        </w:rPr>
        <w:t xml:space="preserve">4. Prueba controlada. </w:t>
      </w:r>
      <w:r>
        <w:rPr>
          <w:rFonts w:ascii="Segoe UI" w:hAnsi="Segoe UI"/>
          <w:color w:val="1C2530"/>
          <w:sz w:val="21"/>
        </w:rPr>
        <w:t>Un mantenimiento completo de extremo a extremo ejecutado por una persona, primero con señal y luego en modo avión. El criterio de cierre es que existan registros reales en la base, verificados leyendo el archivo.</w:t>
      </w:r>
    </w:p>
    <w:p>
      <w:pPr>
        <w:spacing w:after="80"/>
        <w:ind w:left="340"/>
      </w:pPr>
      <w:r>
        <w:rPr>
          <w:rFonts w:ascii="Segoe UI" w:hAnsi="Segoe UI"/>
          <w:b/>
          <w:color w:val="1F5B99"/>
          <w:sz w:val="21"/>
        </w:rPr>
        <w:t xml:space="preserve">5. Piloto. </w:t>
      </w:r>
      <w:r>
        <w:rPr>
          <w:rFonts w:ascii="Segoe UI" w:hAnsi="Segoe UI"/>
          <w:color w:val="1C2530"/>
          <w:sz w:val="21"/>
        </w:rPr>
        <w:t>Los 10 celulares en vía, solo después de que la prueba controlada haya funcionado.</w:t>
      </w:r>
    </w:p>
    <w:p>
      <w:pPr>
        <w:spacing w:after="80"/>
        <w:ind w:left="340"/>
      </w:pPr>
      <w:r>
        <w:rPr>
          <w:rFonts w:ascii="Segoe UI" w:hAnsi="Segoe UI"/>
          <w:b/>
          <w:color w:val="1F5B99"/>
          <w:sz w:val="21"/>
        </w:rPr>
        <w:t xml:space="preserve">6. Producción y evolución. </w:t>
      </w:r>
      <w:r>
        <w:rPr>
          <w:rFonts w:ascii="Segoe UI" w:hAnsi="Segoe UI"/>
          <w:color w:val="1C2530"/>
          <w:sz w:val="21"/>
        </w:rPr>
        <w:t>Resto de tipos de activo, integraciones y respaldo automático.</w:t>
      </w:r>
    </w:p>
    <w:p>
      <w:pPr>
        <w:keepNext/>
        <w:spacing w:before="360" w:after="120"/>
      </w:pPr>
      <w:r>
        <w:rPr>
          <w:rFonts w:ascii="Segoe UI" w:hAnsi="Segoe UI"/>
          <w:b/>
          <w:color w:val="1C2530"/>
          <w:sz w:val="32"/>
        </w:rPr>
        <w:t>7. Acta de la mesa de trabajo</w:t>
      </w:r>
    </w:p>
    <w:p>
      <w:pPr>
        <w:spacing w:after="120" w:before="0"/>
        <w:ind w:left="0"/>
      </w:pPr>
      <w:r>
        <w:rPr>
          <w:rFonts w:ascii="Segoe UI" w:hAnsi="Segoe UI"/>
          <w:b w:val="0"/>
          <w:i w:val="0"/>
          <w:color w:val="1C2530"/>
          <w:sz w:val="21"/>
        </w:rPr>
        <w:t>Para diligenciar al cierre de la sesión.</w:t>
      </w:r>
    </w:p>
    <w:tbl>
      <w:tblPr>
        <w:tblStyle w:val="TableGrid"/>
        <w:tblW w:type="auto" w:w="0"/>
        <w:jc w:val="center"/>
        <w:tblLook w:firstColumn="1" w:firstRow="1" w:lastColumn="0" w:lastRow="0" w:noHBand="0" w:noVBand="1" w:val="04A0"/>
      </w:tblPr>
      <w:tblGrid>
        <w:gridCol w:w="4873"/>
        <w:gridCol w:w="4873"/>
      </w:tblGrid>
      <w:tr>
        <w:tc>
          <w:tcPr>
            <w:tcW w:type="dxa" w:w="3685"/>
            <w:shd w:val="clear" w:fill="1F5B99"/>
          </w:tcPr>
          <w:p>
            <w:pPr>
              <w:spacing w:after="40" w:before="40"/>
            </w:pPr>
            <w:r>
              <w:rPr>
                <w:rFonts w:ascii="Segoe UI" w:hAnsi="Segoe UI"/>
                <w:b/>
                <w:color w:val="FFFFFF"/>
                <w:sz w:val="20"/>
              </w:rPr>
              <w:t>Campo</w:t>
            </w:r>
          </w:p>
        </w:tc>
        <w:tc>
          <w:tcPr>
            <w:tcW w:type="dxa" w:w="5669"/>
            <w:shd w:val="clear" w:fill="1F5B99"/>
          </w:tcPr>
          <w:p>
            <w:pPr>
              <w:spacing w:after="40" w:before="40"/>
            </w:pPr>
            <w:r>
              <w:rPr>
                <w:rFonts w:ascii="Segoe UI" w:hAnsi="Segoe UI"/>
                <w:b/>
                <w:color w:val="FFFFFF"/>
                <w:sz w:val="20"/>
              </w:rPr>
              <w:t>Registro</w:t>
            </w:r>
          </w:p>
        </w:tc>
      </w:tr>
      <w:tr>
        <w:tc>
          <w:tcPr>
            <w:tcW w:type="dxa" w:w="3685"/>
          </w:tcPr>
          <w:p>
            <w:pPr>
              <w:spacing w:after="40" w:before="40"/>
            </w:pPr>
            <w:r>
              <w:rPr>
                <w:rFonts w:ascii="Segoe UI" w:hAnsi="Segoe UI"/>
                <w:color w:val="1C2530"/>
                <w:sz w:val="20"/>
              </w:rPr>
              <w:t>Fecha de la sesión</w:t>
            </w:r>
          </w:p>
        </w:tc>
        <w:tc>
          <w:tcPr>
            <w:tcW w:type="dxa" w:w="5669"/>
          </w:tcPr>
          <w:p>
            <w:pPr>
              <w:spacing w:after="40" w:before="40"/>
            </w:pPr>
            <w:r>
              <w:rPr>
                <w:rFonts w:ascii="Segoe UI" w:hAnsi="Segoe UI"/>
                <w:color w:val="1C2530"/>
                <w:sz w:val="20"/>
              </w:rPr>
            </w:r>
          </w:p>
        </w:tc>
      </w:tr>
      <w:tr>
        <w:tc>
          <w:tcPr>
            <w:tcW w:type="dxa" w:w="3685"/>
            <w:shd w:val="clear" w:fill="F4F6F8"/>
          </w:tcPr>
          <w:p>
            <w:pPr>
              <w:spacing w:after="40" w:before="40"/>
            </w:pPr>
            <w:r>
              <w:rPr>
                <w:rFonts w:ascii="Segoe UI" w:hAnsi="Segoe UI"/>
                <w:color w:val="1C2530"/>
                <w:sz w:val="20"/>
              </w:rPr>
              <w:t>Participantes</w:t>
            </w:r>
          </w:p>
        </w:tc>
        <w:tc>
          <w:tcPr>
            <w:tcW w:type="dxa" w:w="5669"/>
            <w:shd w:val="clear" w:fill="F4F6F8"/>
          </w:tcPr>
          <w:p>
            <w:pPr>
              <w:spacing w:after="40" w:before="40"/>
            </w:pPr>
            <w:r>
              <w:rPr>
                <w:rFonts w:ascii="Segoe UI" w:hAnsi="Segoe UI"/>
                <w:color w:val="1C2530"/>
                <w:sz w:val="20"/>
              </w:rPr>
            </w:r>
          </w:p>
        </w:tc>
      </w:tr>
      <w:tr>
        <w:tc>
          <w:tcPr>
            <w:tcW w:type="dxa" w:w="3685"/>
          </w:tcPr>
          <w:p>
            <w:pPr>
              <w:spacing w:after="40" w:before="40"/>
            </w:pPr>
            <w:r>
              <w:rPr>
                <w:rFonts w:ascii="Segoe UI" w:hAnsi="Segoe UI"/>
                <w:color w:val="1C2530"/>
                <w:sz w:val="20"/>
              </w:rPr>
              <w:t>Decisiones cerradas</w:t>
            </w:r>
          </w:p>
        </w:tc>
        <w:tc>
          <w:tcPr>
            <w:tcW w:type="dxa" w:w="5669"/>
          </w:tcPr>
          <w:p>
            <w:pPr>
              <w:spacing w:after="40" w:before="40"/>
            </w:pPr>
            <w:r>
              <w:rPr>
                <w:rFonts w:ascii="Segoe UI" w:hAnsi="Segoe UI"/>
                <w:color w:val="1C2530"/>
                <w:sz w:val="20"/>
              </w:rPr>
            </w:r>
          </w:p>
        </w:tc>
      </w:tr>
      <w:tr>
        <w:tc>
          <w:tcPr>
            <w:tcW w:type="dxa" w:w="3685"/>
            <w:shd w:val="clear" w:fill="F4F6F8"/>
          </w:tcPr>
          <w:p>
            <w:pPr>
              <w:spacing w:after="40" w:before="40"/>
            </w:pPr>
            <w:r>
              <w:rPr>
                <w:rFonts w:ascii="Segoe UI" w:hAnsi="Segoe UI"/>
                <w:color w:val="1C2530"/>
                <w:sz w:val="20"/>
              </w:rPr>
              <w:t>Decisiones aplazadas y hasta cuándo</w:t>
            </w:r>
          </w:p>
        </w:tc>
        <w:tc>
          <w:tcPr>
            <w:tcW w:type="dxa" w:w="5669"/>
            <w:shd w:val="clear" w:fill="F4F6F8"/>
          </w:tcPr>
          <w:p>
            <w:pPr>
              <w:spacing w:after="40" w:before="40"/>
            </w:pPr>
            <w:r>
              <w:rPr>
                <w:rFonts w:ascii="Segoe UI" w:hAnsi="Segoe UI"/>
                <w:color w:val="1C2530"/>
                <w:sz w:val="20"/>
              </w:rPr>
            </w:r>
          </w:p>
        </w:tc>
      </w:tr>
      <w:tr>
        <w:tc>
          <w:tcPr>
            <w:tcW w:type="dxa" w:w="3685"/>
          </w:tcPr>
          <w:p>
            <w:pPr>
              <w:spacing w:after="40" w:before="40"/>
            </w:pPr>
            <w:r>
              <w:rPr>
                <w:rFonts w:ascii="Segoe UI" w:hAnsi="Segoe UI"/>
                <w:color w:val="1C2530"/>
                <w:sz w:val="20"/>
              </w:rPr>
              <w:t>Supuestos que quedan vinculantes</w:t>
            </w:r>
          </w:p>
        </w:tc>
        <w:tc>
          <w:tcPr>
            <w:tcW w:type="dxa" w:w="5669"/>
          </w:tcPr>
          <w:p>
            <w:pPr>
              <w:spacing w:after="40" w:before="40"/>
            </w:pPr>
            <w:r>
              <w:rPr>
                <w:rFonts w:ascii="Segoe UI" w:hAnsi="Segoe UI"/>
                <w:color w:val="1C2530"/>
                <w:sz w:val="20"/>
              </w:rPr>
            </w:r>
          </w:p>
        </w:tc>
      </w:tr>
      <w:tr>
        <w:tc>
          <w:tcPr>
            <w:tcW w:type="dxa" w:w="3685"/>
            <w:shd w:val="clear" w:fill="F4F6F8"/>
          </w:tcPr>
          <w:p>
            <w:pPr>
              <w:spacing w:after="40" w:before="40"/>
            </w:pPr>
            <w:r>
              <w:rPr>
                <w:rFonts w:ascii="Segoe UI" w:hAnsi="Segoe UI"/>
                <w:color w:val="1C2530"/>
                <w:sz w:val="20"/>
              </w:rPr>
              <w:t>Responsable de D-01 (coordenadas) y fecha comprometida</w:t>
            </w:r>
          </w:p>
        </w:tc>
        <w:tc>
          <w:tcPr>
            <w:tcW w:type="dxa" w:w="5669"/>
            <w:shd w:val="clear" w:fill="F4F6F8"/>
          </w:tcPr>
          <w:p>
            <w:pPr>
              <w:spacing w:after="40" w:before="40"/>
            </w:pPr>
            <w:r>
              <w:rPr>
                <w:rFonts w:ascii="Segoe UI" w:hAnsi="Segoe UI"/>
                <w:color w:val="1C2530"/>
                <w:sz w:val="20"/>
              </w:rPr>
            </w:r>
          </w:p>
        </w:tc>
      </w:tr>
      <w:tr>
        <w:tc>
          <w:tcPr>
            <w:tcW w:type="dxa" w:w="3685"/>
          </w:tcPr>
          <w:p>
            <w:pPr>
              <w:spacing w:after="40" w:before="40"/>
            </w:pPr>
            <w:r>
              <w:rPr>
                <w:rFonts w:ascii="Segoe UI" w:hAnsi="Segoe UI"/>
                <w:color w:val="1C2530"/>
                <w:sz w:val="20"/>
              </w:rPr>
              <w:t>Responsable de D-09 (bancos de preguntas) y fecha comprometida</w:t>
            </w:r>
          </w:p>
        </w:tc>
        <w:tc>
          <w:tcPr>
            <w:tcW w:type="dxa" w:w="5669"/>
          </w:tcPr>
          <w:p>
            <w:pPr>
              <w:spacing w:after="40" w:before="40"/>
            </w:pPr>
            <w:r>
              <w:rPr>
                <w:rFonts w:ascii="Segoe UI" w:hAnsi="Segoe UI"/>
                <w:color w:val="1C2530"/>
                <w:sz w:val="20"/>
              </w:rPr>
            </w:r>
          </w:p>
        </w:tc>
      </w:tr>
      <w:tr>
        <w:tc>
          <w:tcPr>
            <w:tcW w:type="dxa" w:w="3685"/>
            <w:shd w:val="clear" w:fill="F4F6F8"/>
          </w:tcPr>
          <w:p>
            <w:pPr>
              <w:spacing w:after="40" w:before="40"/>
            </w:pPr>
            <w:r>
              <w:rPr>
                <w:rFonts w:ascii="Segoe UI" w:hAnsi="Segoe UI"/>
                <w:color w:val="1C2530"/>
                <w:sz w:val="20"/>
              </w:rPr>
              <w:t>Próxima sesión</w:t>
            </w:r>
          </w:p>
        </w:tc>
        <w:tc>
          <w:tcPr>
            <w:tcW w:type="dxa" w:w="5669"/>
            <w:shd w:val="clear" w:fill="F4F6F8"/>
          </w:tcPr>
          <w:p>
            <w:pPr>
              <w:spacing w:after="40" w:before="40"/>
            </w:pPr>
            <w:r>
              <w:rPr>
                <w:rFonts w:ascii="Segoe UI" w:hAnsi="Segoe UI"/>
                <w:color w:val="1C2530"/>
                <w:sz w:val="20"/>
              </w:rPr>
            </w:r>
          </w:p>
        </w:tc>
      </w:tr>
    </w:tbl>
    <w:p>
      <w:pPr>
        <w:spacing w:after="0"/>
      </w:pPr>
    </w:p>
    <w:p>
      <w:pPr>
        <w:spacing w:after="480" w:before="0"/>
        <w:ind w:left="0"/>
      </w:pPr>
    </w:p>
    <w:tbl>
      <w:tblPr>
        <w:tblW w:type="auto" w:w="0"/>
        <w:tblLook w:firstColumn="1" w:firstRow="1" w:lastColumn="0" w:lastRow="0" w:noHBand="0" w:noVBand="1" w:val="04A0"/>
      </w:tblPr>
      <w:tblGrid>
        <w:gridCol w:w="4873"/>
        <w:gridCol w:w="4873"/>
      </w:tblGrid>
      <w:tr>
        <w:tc>
          <w:tcPr>
            <w:tcW w:type="dxa" w:w="4873"/>
          </w:tcPr>
          <w:p>
            <w:r/>
            <w:r>
              <w:rPr>
                <w:rFonts w:ascii="Segoe UI" w:hAnsi="Segoe UI"/>
                <w:color w:val="1C2530"/>
                <w:sz w:val="21"/>
              </w:rPr>
              <w:br/>
              <w:br/>
              <w:t>____________________________________</w:t>
            </w:r>
          </w:p>
          <w:p>
            <w:r>
              <w:rPr>
                <w:rFonts w:ascii="Segoe UI" w:hAnsi="Segoe UI"/>
                <w:color w:val="6E7A86"/>
                <w:sz w:val="18"/>
              </w:rPr>
              <w:t>Líder funcional</w:t>
              <w:br/>
              <w:t>Nombre y fecha</w:t>
            </w:r>
          </w:p>
        </w:tc>
        <w:tc>
          <w:tcPr>
            <w:tcW w:type="dxa" w:w="4873"/>
          </w:tcPr>
          <w:p>
            <w:r/>
            <w:r>
              <w:rPr>
                <w:rFonts w:ascii="Segoe UI" w:hAnsi="Segoe UI"/>
                <w:color w:val="1C2530"/>
                <w:sz w:val="21"/>
              </w:rPr>
              <w:br/>
              <w:br/>
              <w:t>____________________________________</w:t>
            </w:r>
          </w:p>
          <w:p>
            <w:r>
              <w:rPr>
                <w:rFonts w:ascii="Segoe UI" w:hAnsi="Segoe UI"/>
                <w:color w:val="6E7A86"/>
                <w:sz w:val="18"/>
              </w:rPr>
              <w:t>Por el equipo técnico</w:t>
              <w:br/>
              <w:t>Nombre y fecha</w:t>
            </w:r>
          </w:p>
        </w:tc>
      </w:tr>
    </w:tbl>
    <w:p>
      <w:pPr>
        <w:spacing w:after="280" w:before="0"/>
        <w:ind w:left="0"/>
      </w:pPr>
    </w:p>
    <w:p>
      <w:pPr>
        <w:spacing w:after="120" w:before="0"/>
        <w:ind w:left="0"/>
      </w:pPr>
      <w:r>
        <w:rPr>
          <w:rFonts w:ascii="Segoe UI" w:hAnsi="Segoe UI"/>
          <w:b w:val="0"/>
          <w:i/>
          <w:color w:val="6E7A86"/>
          <w:sz w:val="18"/>
        </w:rPr>
        <w:t>Las decisiones registradas en esta acta son la base del cronograma de implementación y del alcance del sprint.</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E7A86"/>
        <w:sz w:val="16"/>
      </w:rPr>
      <w:t xml:space="preserve">SGMC | Definición funcional y mesa de trabajo | Concesión Transversal del Sisga S.A.S.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