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Operación y Mantenimiento — Retrorreflectómetro Vertical SAT-LUX/V3 K42</w:t>
      </w:r>
    </w:p>
    <w:p>
      <w:pPr>
        <w:jc w:val="both"/>
      </w:pPr>
      <w:r>
        <w:t>Manual de operación técnica y mantenimiento del instrumento de medición para la línea V3.6. Destinado a inspectores de tránsito, técnicos viales, operadores de terreno y personal de laboratorio.</w:t>
      </w:r>
    </w:p>
    <w:p>
      <w:pPr>
        <w:ind w:left="360"/>
        <w:shd w:fill="F2F2F2"/>
      </w:pPr>
      <w:r>
        <w:t xml:space="preserve">[!NOTE] </w:t>
      </w:r>
      <w:r>
        <w:rPr>
          <w:b/>
        </w:rPr>
        <w:t>Puntos pendientes de medición y verificación física (no medidos):</w:t>
      </w:r>
      <w:r>
        <w:t xml:space="preserve"> - </w:t>
      </w:r>
      <w:r>
        <w:rPr>
          <w:b/>
        </w:rPr>
        <w:t>Geometría óptica:</w:t>
      </w:r>
      <w:r>
        <w:t xml:space="preserve"> La geometría de observación y entrada (0,2° / −4°) es una propuesta pendiente de confirmación técnica en el equipo físico. No se afirma como dato cerrado hasta cotejar el certificado de los patrones y comprobar en el instrumento. - </w:t>
      </w:r>
      <w:r>
        <w:rPr>
          <w:b/>
        </w:rPr>
        <w:t>Modelo de pantalla STONE:</w:t>
      </w:r>
      <w:r>
        <w:t xml:space="preserve"> Contradicción abierta entre variantes de pantalla gráfica. Se cierra mirando la etiqueta física del módulo en el instrumento.</w:t>
      </w:r>
    </w:p>
    <w:p>
      <w:pPr>
        <w:spacing w:before="40" w:after="40"/>
        <w:shd w:fill="D9D9D9"/>
      </w:pPr>
    </w:p>
    <w:p>
      <w:pPr>
        <w:pStyle w:val="Heading2"/>
      </w:pPr>
      <w:r>
        <w:t>1. Principio Físico y Normativa de Medición</w:t>
      </w:r>
    </w:p>
    <w:p>
      <w:pPr>
        <w:jc w:val="both"/>
      </w:pPr>
      <w:r>
        <w:t>El Retrorreflectómetro Vertical SAT-LUX/V3 K42 es un instrumento optoelectrónico portátil de precisión diseñado para medir en terreno y en laboratorio el coeficiente de retrorreflexión RA (o R') sobre láminas y películas retrorreflectivas aplicadas en señales de tránsito verticales.</w:t>
      </w:r>
    </w:p>
    <w:p>
      <w:pPr>
        <w:pStyle w:val="Heading3"/>
      </w:pPr>
      <w:r>
        <w:t>Especificaciones Técnicas y Metrológicas:</w:t>
      </w:r>
    </w:p>
    <w:p>
      <w:pPr>
        <w:pStyle w:val="ListBullet"/>
      </w:pPr>
      <w:r>
        <w:rPr>
          <w:b/>
        </w:rPr>
        <w:t>Magnitud medida:</w:t>
      </w:r>
      <w:r>
        <w:t xml:space="preserve"> Coeficiente de retrorreflexión RA, expresado en unidades de candelas por lux por metro</w:t>
      </w:r>
    </w:p>
    <w:p>
      <w:pPr>
        <w:jc w:val="both"/>
      </w:pPr>
      <w:r>
        <w:t>cuadrado (cd / (lx * m2)).</w:t>
      </w:r>
    </w:p>
    <w:p>
      <w:pPr>
        <w:pStyle w:val="ListBullet"/>
      </w:pPr>
      <w:r>
        <w:rPr>
          <w:b/>
        </w:rPr>
        <w:t>Geometría óptica:</w:t>
      </w:r>
      <w:r>
        <w:t xml:space="preserve"> Pendiente de confirmación física (ver nota en cabecera).</w:t>
      </w:r>
    </w:p>
    <w:p>
      <w:pPr>
        <w:pStyle w:val="ListBullet"/>
      </w:pPr>
      <w:r>
        <w:rPr>
          <w:b/>
        </w:rPr>
        <w:t>Normativa de referencia:</w:t>
      </w:r>
      <w:r>
        <w:t xml:space="preserve"> Especificaciones NTC 4739 y ASTM E1710 para señalización vertical.</w:t>
      </w:r>
    </w:p>
    <w:p>
      <w:pPr>
        <w:pStyle w:val="ListBullet"/>
      </w:pPr>
      <w:r>
        <w:rPr>
          <w:b/>
        </w:rPr>
        <w:t>Sistema de iluminación y captura:</w:t>
      </w:r>
    </w:p>
    <w:p>
      <w:pPr>
        <w:pStyle w:val="ListBullet2"/>
      </w:pPr>
      <w:r>
        <w:t>Fuente de luz: Emisor de estado sólido LED estabilizado espectralmente.</w:t>
      </w:r>
    </w:p>
    <w:p>
      <w:pPr>
        <w:pStyle w:val="ListBullet2"/>
      </w:pPr>
      <w:r>
        <w:t>Sensor de detección: Fotodiodo de silicio de alta estabilidad con corrección de respuesta fotópica CIE V(lambda)</w:t>
      </w:r>
    </w:p>
    <w:p>
      <w:pPr>
        <w:jc w:val="both"/>
      </w:pPr>
      <w:r>
        <w:t>para igualar la curva de sensibilidad del ojo humano estándar.</w:t>
      </w:r>
    </w:p>
    <w:p>
      <w:pPr>
        <w:pStyle w:val="ListBullet"/>
      </w:pPr>
      <w:r>
        <w:rPr>
          <w:b/>
        </w:rPr>
        <w:t>Microcontrolador principal:</w:t>
      </w:r>
      <w:r>
        <w:t xml:space="preserve"> Microchip PIC18F47K42 en placa "SATLUX H-IoT".</w:t>
      </w:r>
    </w:p>
    <w:p>
      <w:pPr>
        <w:pStyle w:val="ListBullet"/>
      </w:pPr>
      <w:r>
        <w:rPr>
          <w:b/>
        </w:rPr>
        <w:t>Interfaz visual:</w:t>
      </w:r>
      <w:r>
        <w:t xml:space="preserve"> Pantalla gráfica táctil STONE de segunda generación (modelo exacto pendiente de</w:t>
      </w:r>
    </w:p>
    <w:p>
      <w:pPr>
        <w:jc w:val="both"/>
      </w:pPr>
      <w:r>
        <w:t>verificar en etiqueta física).</w:t>
      </w:r>
    </w:p>
    <w:p>
      <w:pPr>
        <w:pStyle w:val="ListBullet"/>
      </w:pPr>
      <w:r>
        <w:rPr>
          <w:b/>
        </w:rPr>
        <w:t>Comunicación inalámbrica:</w:t>
      </w:r>
      <w:r>
        <w:t xml:space="preserve"> Enlace Bluetooth UART1 integrado a velocidad fija de 9600 baudios (8N1).</w:t>
      </w:r>
    </w:p>
    <w:p>
      <w:pPr>
        <w:spacing w:before="40" w:after="40"/>
        <w:shd w:fill="D9D9D9"/>
      </w:pPr>
    </w:p>
    <w:p>
      <w:pPr>
        <w:pStyle w:val="Heading2"/>
      </w:pPr>
      <w:r>
        <w:t>2. Componentes del Instrumento</w:t>
      </w:r>
    </w:p>
    <w:p>
      <w:pPr>
        <w:jc w:val="both"/>
      </w:pPr>
      <w:r>
        <w:t>El equipo se compone de los siguientes elementos principales:</w:t>
      </w:r>
    </w:p>
    <w:p>
      <w:pPr>
        <w:pStyle w:val="ListNumber"/>
      </w:pPr>
      <w:r>
        <w:rPr>
          <w:b/>
        </w:rPr>
        <w:t>Cuerpo ergonómico principal:</w:t>
      </w:r>
      <w:r>
        <w:t xml:space="preserve"> Chasis de alta resistencia mecánica diseñado para trabajo pesado en carretera.</w:t>
      </w:r>
    </w:p>
    <w:p>
      <w:pPr>
        <w:pStyle w:val="ListNumber"/>
      </w:pPr>
      <w:r>
        <w:rPr>
          <w:b/>
        </w:rPr>
        <w:t>Empuñadura con gatillo de disparo:</w:t>
      </w:r>
      <w:r>
        <w:t xml:space="preserve"> Permite sostener el instrumento con firmeza y accionar la medición de</w:t>
      </w:r>
    </w:p>
    <w:p>
      <w:pPr>
        <w:jc w:val="both"/>
      </w:pPr>
      <w:r>
        <w:t>forma manual con un solo dedo.</w:t>
      </w:r>
    </w:p>
    <w:p>
      <w:pPr>
        <w:pStyle w:val="ListNumber"/>
      </w:pPr>
      <w:r>
        <w:rPr>
          <w:b/>
        </w:rPr>
        <w:t>Ventana óptica de medición:</w:t>
      </w:r>
      <w:r>
        <w:t xml:space="preserve"> Ubicada en la base frontal inferior del instrumento. Dispone de un marco elástico</w:t>
      </w:r>
    </w:p>
    <w:p>
      <w:pPr>
        <w:jc w:val="both"/>
      </w:pPr>
      <w:r>
        <w:t>de goma perimetral que actúa como sello de estanqueidad contra el ingreso de luz solar o luminarias parásitas.</w:t>
      </w:r>
    </w:p>
    <w:p>
      <w:pPr>
        <w:pStyle w:val="ListNumber"/>
      </w:pPr>
      <w:r>
        <w:rPr>
          <w:b/>
        </w:rPr>
        <w:t>Pantalla táctil STONE:</w:t>
      </w:r>
      <w:r>
        <w:t xml:space="preserve"> Ubicada en la parte superior. Muestra el estado del sistema, el nivel</w:t>
      </w:r>
    </w:p>
    <w:p>
      <w:pPr>
        <w:jc w:val="both"/>
      </w:pPr>
      <w:r>
        <w:t>de carga de la batería y los valores de retrorreflexión de cada disparo.</w:t>
      </w:r>
    </w:p>
    <w:p>
      <w:pPr>
        <w:pStyle w:val="ListNumber"/>
      </w:pPr>
      <w:r>
        <w:rPr>
          <w:b/>
        </w:rPr>
        <w:t>Panel de control e interfaces:</w:t>
      </w:r>
    </w:p>
    <w:p>
      <w:pPr>
        <w:pStyle w:val="ListBullet2"/>
      </w:pPr>
      <w:r>
        <w:t>Interruptor general de alimentación (ON/OFF).</w:t>
      </w:r>
    </w:p>
    <w:p>
      <w:pPr>
        <w:pStyle w:val="ListBullet2"/>
      </w:pPr>
      <w:r>
        <w:t>Toma para conector de carga de batería recargable interna.</w:t>
      </w:r>
    </w:p>
    <w:p>
      <w:pPr>
        <w:pStyle w:val="ListBullet2"/>
      </w:pPr>
      <w:r>
        <w:t>Indicador luminoso LED de estado de carga eléctrica.</w:t>
      </w:r>
    </w:p>
    <w:p>
      <w:pPr>
        <w:pStyle w:val="ListBullet2"/>
      </w:pPr>
      <w:r>
        <w:t>Módulo de comunicación serie inalámbrica Bluetooth interno.</w:t>
      </w:r>
    </w:p>
    <w:p>
      <w:pPr>
        <w:spacing w:before="40" w:after="40"/>
        <w:shd w:fill="D9D9D9"/>
      </w:pPr>
    </w:p>
    <w:p>
      <w:pPr>
        <w:pStyle w:val="Heading2"/>
      </w:pPr>
      <w:r>
        <w:t>3. Puesta en Marcha y Preparación para la Medición</w:t>
      </w:r>
    </w:p>
    <w:p>
      <w:pPr>
        <w:pStyle w:val="Heading3"/>
      </w:pPr>
      <w:r>
        <w:t>Procedimiento Inicial:</w:t>
      </w:r>
    </w:p>
    <w:p>
      <w:pPr>
        <w:pStyle w:val="ListNumber"/>
      </w:pPr>
      <w:r>
        <w:rPr>
          <w:b/>
        </w:rPr>
        <w:t>Inspección visual:</w:t>
      </w:r>
      <w:r>
        <w:t xml:space="preserve"> Antes de cada jornada, retire la tapa protectora de la ventana óptica e inspeccione que la</w:t>
      </w:r>
    </w:p>
    <w:p>
      <w:pPr>
        <w:jc w:val="both"/>
      </w:pPr>
      <w:r>
        <w:t>lente y el marco elástico de goma se encuentren completamente limpios y libres de partículas abrasivas.</w:t>
      </w:r>
    </w:p>
    <w:p>
      <w:pPr>
        <w:pStyle w:val="ListNumber"/>
      </w:pPr>
      <w:r>
        <w:rPr>
          <w:b/>
        </w:rPr>
        <w:t>Encendido:</w:t>
      </w:r>
      <w:r>
        <w:t xml:space="preserve"> Accione el interruptor de encendido. La pantalla STONE se iluminará y desplegará la interfaz</w:t>
      </w:r>
    </w:p>
    <w:p>
      <w:pPr>
        <w:jc w:val="both"/>
      </w:pPr>
      <w:r>
        <w:t>principal tras completar la inicialización del microcontrolador PIC18F47K42.</w:t>
      </w:r>
    </w:p>
    <w:p>
      <w:pPr>
        <w:pStyle w:val="ListNumber"/>
      </w:pPr>
      <w:r>
        <w:rPr>
          <w:b/>
        </w:rPr>
        <w:t>Inicialización del sistema:</w:t>
      </w:r>
      <w:r>
        <w:t xml:space="preserve"> Espere a que el equipo complete su rutina de inicio y la pantalla STONE</w:t>
      </w:r>
    </w:p>
    <w:p>
      <w:pPr>
        <w:jc w:val="both"/>
      </w:pPr>
      <w:r>
        <w:t>muestre la interfaz lista para operar antes de iniciar las mediciones.</w:t>
      </w:r>
    </w:p>
    <w:p>
      <w:pPr>
        <w:pStyle w:val="ListNumber"/>
      </w:pPr>
      <w:r>
        <w:rPr>
          <w:b/>
        </w:rPr>
        <w:t>Comprobación de la batería:</w:t>
      </w:r>
      <w:r>
        <w:t xml:space="preserve"> Observe el indicador de carga en pantalla. Si el equipo reporta nivel bajo,</w:t>
      </w:r>
    </w:p>
    <w:p>
      <w:pPr>
        <w:jc w:val="both"/>
      </w:pPr>
      <w:r>
        <w:t>recárguelo antes de salir a campo para evitar apagados repentinos durante una serie de medidas.</w:t>
      </w:r>
    </w:p>
    <w:p>
      <w:pPr>
        <w:spacing w:before="40" w:after="40"/>
        <w:shd w:fill="D9D9D9"/>
      </w:pPr>
    </w:p>
    <w:p>
      <w:pPr>
        <w:pStyle w:val="Heading2"/>
      </w:pPr>
      <w:r>
        <w:t>4. Procedimiento de Medición en Terreno</w:t>
      </w:r>
    </w:p>
    <w:p>
      <w:pPr>
        <w:jc w:val="both"/>
      </w:pPr>
      <w:r>
        <w:t>Para obtener datos confiables y reproducibles que cumplan los requisitos de interventoría vial:</w:t>
      </w:r>
    </w:p>
    <w:p>
      <w:pPr>
        <w:pStyle w:val="ListNumber"/>
      </w:pPr>
      <w:r>
        <w:rPr>
          <w:b/>
        </w:rPr>
        <w:t>Acondicionamiento de la señal:</w:t>
      </w:r>
      <w:r>
        <w:t xml:space="preserve"> Si la cara de la señal presenta polvo denso o salpicaduras de lodo superficial,</w:t>
      </w:r>
    </w:p>
    <w:p>
      <w:pPr>
        <w:jc w:val="both"/>
      </w:pPr>
      <w:r>
        <w:t>límpiela suavemente con un paño seco o ligeramente humedecido con agua limpia. No use detergentes abrasivos.</w:t>
      </w:r>
    </w:p>
    <w:p>
      <w:pPr>
        <w:pStyle w:val="ListNumber"/>
      </w:pPr>
      <w:r>
        <w:rPr>
          <w:b/>
        </w:rPr>
        <w:t>Asentamiento perpendicular:</w:t>
      </w:r>
    </w:p>
    <w:p>
      <w:pPr>
        <w:pStyle w:val="ListBullet2"/>
      </w:pPr>
      <w:r>
        <w:t>Apoye la boca frontal del retrorreflectómetro contra la superficie de la lámina retrorreflectiva.</w:t>
      </w:r>
    </w:p>
    <w:p>
      <w:pPr>
        <w:pStyle w:val="ListBullet2"/>
      </w:pPr>
      <w:r>
        <w:t>Mantenga el instrumento completamente perpendicular a la superficie de la señal.</w:t>
      </w:r>
    </w:p>
    <w:p>
      <w:pPr>
        <w:pStyle w:val="ListBullet2"/>
      </w:pPr>
      <w:r>
        <w:t>Aplique una presión suave y uniforme para asegurar que el marco de goma selle todo el perímetro, bloqueando la</w:t>
      </w:r>
    </w:p>
    <w:p>
      <w:pPr>
        <w:jc w:val="both"/>
      </w:pPr>
      <w:r>
        <w:t>luz ambiental del exterior.</w:t>
      </w:r>
    </w:p>
    <w:p>
      <w:pPr>
        <w:pStyle w:val="ListNumber"/>
      </w:pPr>
      <w:r>
        <w:rPr>
          <w:b/>
        </w:rPr>
        <w:t>Disparo de medición:</w:t>
      </w:r>
    </w:p>
    <w:p>
      <w:pPr>
        <w:pStyle w:val="ListBullet2"/>
      </w:pPr>
      <w:r>
        <w:t xml:space="preserve">Oprima el gatillo de la empuñadura del instrumento o toque el botón </w:t>
      </w:r>
      <w:r>
        <w:rPr>
          <w:b/>
        </w:rPr>
        <w:t>Medir</w:t>
      </w:r>
      <w:r>
        <w:t xml:space="preserve"> en la aplicación móvil enlazada.</w:t>
      </w:r>
    </w:p>
    <w:p>
      <w:pPr>
        <w:pStyle w:val="ListBullet2"/>
      </w:pPr>
      <w:r>
        <w:t>El equipo activará un pulso de luz interno, procesará las muestras analógicas y emitirá un pitido de</w:t>
      </w:r>
    </w:p>
    <w:p>
      <w:pPr>
        <w:jc w:val="both"/>
      </w:pPr>
      <w:r>
        <w:t>confirmación.</w:t>
      </w:r>
    </w:p>
    <w:p>
      <w:pPr>
        <w:pStyle w:val="ListBullet2"/>
      </w:pPr>
      <w:r>
        <w:t>El valor numérico de retrorreflexión aparecerá en la pantalla STONE y se transmitirá simultáneamente al teléfono.</w:t>
      </w:r>
    </w:p>
    <w:p>
      <w:pPr>
        <w:pStyle w:val="ListNumber"/>
      </w:pPr>
      <w:r>
        <w:rPr>
          <w:b/>
        </w:rPr>
        <w:t>Muestreo por señal (Toma Múltiple):</w:t>
      </w:r>
    </w:p>
    <w:p>
      <w:pPr>
        <w:pStyle w:val="ListBullet2"/>
      </w:pPr>
      <w:r>
        <w:t>Según las directrices técnicas del Manual de Señalización Vial y la NTC 4739, nunca se dictamina una señal con</w:t>
      </w:r>
    </w:p>
    <w:p>
      <w:pPr>
        <w:jc w:val="both"/>
      </w:pPr>
      <w:r>
        <w:t>un solo disparo.</w:t>
      </w:r>
    </w:p>
    <w:p>
      <w:pPr>
        <w:pStyle w:val="ListBullet2"/>
      </w:pPr>
      <w:r>
        <w:t>Realice al menos tres tomas en distintos puntos representativos del mismo color (por ejemplo en el fondo y en</w:t>
      </w:r>
    </w:p>
    <w:p>
      <w:pPr>
        <w:jc w:val="both"/>
      </w:pPr>
      <w:r>
        <w:t>la orla) para calcular el promedio aritmético.</w:t>
      </w:r>
    </w:p>
    <w:p>
      <w:pPr>
        <w:spacing w:before="40" w:after="40"/>
        <w:shd w:fill="D9D9D9"/>
      </w:pPr>
    </w:p>
    <w:p>
      <w:pPr>
        <w:pStyle w:val="Heading2"/>
      </w:pPr>
      <w:r>
        <w:t>5. Limpieza, Cuidados y Mantenimiento Preventivo</w:t>
      </w:r>
    </w:p>
    <w:p>
      <w:pPr>
        <w:jc w:val="both"/>
      </w:pPr>
      <w:r>
        <w:t>El retrorreflectómetro es un equipo óptico de alta precisión y debe ser tratado con el cuidado correspondiente:</w:t>
      </w:r>
    </w:p>
    <w:p>
      <w:pPr>
        <w:pStyle w:val="ListBullet"/>
      </w:pPr>
      <w:r>
        <w:rPr>
          <w:b/>
        </w:rPr>
        <w:t>Limpieza de la ventana óptica:</w:t>
      </w:r>
    </w:p>
    <w:p>
      <w:pPr>
        <w:pStyle w:val="ListBullet2"/>
      </w:pPr>
      <w:r>
        <w:t>Retire partículas de polvo con una perilla de aire soplador antes de tocar la superficie de vidrio.</w:t>
      </w:r>
    </w:p>
    <w:p>
      <w:pPr>
        <w:pStyle w:val="ListBullet2"/>
      </w:pPr>
      <w:r>
        <w:t>Limpie la ventana de medición únicamente con toallitas de microfibra de uso óptico.</w:t>
      </w:r>
    </w:p>
    <w:p>
      <w:pPr>
        <w:pStyle w:val="ListBullet2"/>
      </w:pPr>
      <w:r>
        <w:rPr>
          <w:b/>
        </w:rPr>
        <w:t>PROHIBIDO:</w:t>
      </w:r>
      <w:r>
        <w:t xml:space="preserve"> Usar solventes agresivos, alcoholes industriales, acetona, thinner o paños de taller que puedan</w:t>
      </w:r>
    </w:p>
    <w:p>
      <w:pPr>
        <w:jc w:val="both"/>
      </w:pPr>
      <w:r>
        <w:t>rayar el recubrimiento óptico o deteriorar el marco de goma.</w:t>
      </w:r>
    </w:p>
    <w:p>
      <w:pPr>
        <w:pStyle w:val="ListBullet"/>
      </w:pPr>
      <w:r>
        <w:rPr>
          <w:b/>
        </w:rPr>
        <w:t>Protección contra factores ambientales:</w:t>
      </w:r>
    </w:p>
    <w:p>
      <w:pPr>
        <w:pStyle w:val="ListBullet2"/>
      </w:pPr>
      <w:r>
        <w:t>No utilice el equipo bajo lluvia intensa ni en presencia de condensación visible sobre las lentes.</w:t>
      </w:r>
    </w:p>
    <w:p>
      <w:pPr>
        <w:pStyle w:val="ListBullet2"/>
      </w:pPr>
      <w:r>
        <w:t>Si el equipo pasa de un vehículo con aire acondicionado a un ambiente cálido y húmedo, permita que se aclimate</w:t>
      </w:r>
    </w:p>
    <w:p>
      <w:pPr>
        <w:jc w:val="both"/>
      </w:pPr>
      <w:r>
        <w:t>a la temperatura ambiente para evaporar cualquier rocío antes de encenderlo.</w:t>
      </w:r>
    </w:p>
    <w:p>
      <w:pPr>
        <w:pStyle w:val="ListBullet"/>
      </w:pPr>
      <w:r>
        <w:rPr>
          <w:b/>
        </w:rPr>
        <w:t>Transporte y almacenamiento:</w:t>
      </w:r>
    </w:p>
    <w:p>
      <w:pPr>
        <w:pStyle w:val="ListBullet2"/>
      </w:pPr>
      <w:r>
        <w:t>Transporte siempre el instrumento dentro de su maletín rígido acolchado de protección suministrado por DPI.</w:t>
      </w:r>
    </w:p>
    <w:p>
      <w:pPr>
        <w:pStyle w:val="ListBullet2"/>
      </w:pPr>
      <w:r>
        <w:t>Nunca deje el instrumento expuesto al sol directo dentro de la cabina de un vehículo cerrado.</w:t>
      </w:r>
    </w:p>
    <w:p>
      <w:pPr>
        <w:spacing w:before="40" w:after="40"/>
        <w:shd w:fill="D9D9D9"/>
      </w:pPr>
    </w:p>
    <w:p>
      <w:pPr>
        <w:pStyle w:val="Heading2"/>
      </w:pPr>
      <w:r>
        <w:t>6. Mantenimiento del Sistema de Batería</w:t>
      </w:r>
    </w:p>
    <w:p>
      <w:pPr>
        <w:pStyle w:val="ListBullet"/>
      </w:pPr>
      <w:r>
        <w:t>Utilice exclusivamente el cargador de pared suministrado por DPI Ingeniería &amp; Consultoría.</w:t>
      </w:r>
    </w:p>
    <w:p>
      <w:pPr>
        <w:pStyle w:val="ListBullet"/>
      </w:pPr>
      <w:r>
        <w:t>Conecte el cargador a una toma de corriente estable. El indicador LED confirmará el proceso de carga.</w:t>
      </w:r>
    </w:p>
    <w:p>
      <w:pPr>
        <w:pStyle w:val="ListBullet"/>
      </w:pPr>
      <w:r>
        <w:t>Un ciclo completo de carga toma aproximadamente entre 3 y 5 horas.</w:t>
      </w:r>
    </w:p>
    <w:p>
      <w:pPr>
        <w:pStyle w:val="ListBullet"/>
      </w:pPr>
      <w:r>
        <w:t>Si el instrumento va a permanecer almacenado sin uso por más de dos meses, realice una recarga completa para</w:t>
      </w:r>
    </w:p>
    <w:p>
      <w:pPr>
        <w:jc w:val="both"/>
      </w:pPr>
      <w:r>
        <w:t>proteger la vida útil del acumulador interno.</w:t>
      </w:r>
    </w:p>
    <w:p>
      <w:pPr>
        <w:spacing w:before="40" w:after="40"/>
        <w:shd w:fill="D9D9D9"/>
      </w:pPr>
    </w:p>
    <w:p>
      <w:pPr>
        <w:pStyle w:val="Heading2"/>
      </w:pPr>
      <w:r>
        <w:t>7. Trazabilidad Metrológica y Calibración Periódica</w:t>
      </w:r>
    </w:p>
    <w:p>
      <w:pPr>
        <w:pStyle w:val="ListBullet"/>
      </w:pPr>
      <w:r>
        <w:rPr>
          <w:b/>
        </w:rPr>
        <w:t>Vigencia del ajuste:</w:t>
      </w:r>
      <w:r>
        <w:t xml:space="preserve"> La calibración técnica del retrorreflectómetro vertical tiene una vigencia recomendada de</w:t>
      </w:r>
    </w:p>
    <w:p>
      <w:pPr>
        <w:jc w:val="both"/>
      </w:pPr>
      <w:r>
        <w:t xml:space="preserve">un año calendario. La fecha del último ajuste se encuentra registrada de forma indeleble en la memoria EEPROM del instrumento y se transmite en cada verificación inicial mediante la orden </w:t>
      </w:r>
      <w:r>
        <w:rPr>
          <w:rFonts w:ascii="Consolas" w:hAnsi="Consolas"/>
          <w:color w:val="8B0000"/>
          <w:sz w:val="18"/>
        </w:rPr>
        <w:t>#V#</w:t>
      </w:r>
      <w:r>
        <w:t>.</w:t>
      </w:r>
    </w:p>
    <w:p>
      <w:pPr>
        <w:pStyle w:val="ListBullet"/>
      </w:pPr>
      <w:r>
        <w:rPr>
          <w:b/>
        </w:rPr>
        <w:t>Patrones de control:</w:t>
      </w:r>
      <w:r>
        <w:t xml:space="preserve"> Se aconseja verificar periódicamente la estabilidad del equipo midiendo los patrones de</w:t>
      </w:r>
    </w:p>
    <w:p>
      <w:pPr>
        <w:jc w:val="both"/>
      </w:pPr>
      <w:r>
        <w:t>referencia suministrados con el equipo.</w:t>
      </w:r>
    </w:p>
    <w:p>
      <w:pPr>
        <w:pStyle w:val="ListBullet"/>
      </w:pPr>
      <w:r>
        <w:rPr>
          <w:b/>
        </w:rPr>
        <w:t>Recalibración anual:</w:t>
      </w:r>
      <w:r>
        <w:t xml:space="preserve"> Cumplido el periodo de vigencia o en caso de detectarse desviaciones superiores a las</w:t>
      </w:r>
    </w:p>
    <w:p>
      <w:pPr>
        <w:jc w:val="both"/>
      </w:pPr>
      <w:r>
        <w:t>tolerancias admisibles por la norma técnica, el instrumento debe remitirse al laboratorio de DPI Ingeniería &amp; Consultoría para su ajuste metrológico y emisión de un nuevo certificado de calibración.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md-sha256:4620ab673e2d717eb716026718c91c80bb665e805879d8bf19f4c44d29aa823c</dc:identifier>
</cp:coreProperties>
</file>