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recalibrada"/>
    <w:p>
      <w:pPr>
        <w:pStyle w:val="Heading5"/>
      </w:pPr>
      <w:r>
        <w:rPr>
          <w:bCs/>
          <w:b/>
        </w:rPr>
        <w:t xml:space="preserve">DT-INTERFACES-001-2025-10-09 ⭐ RECALIBRADA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Saneamiento Contractual (Dictamen 01)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Reducción drástica de complejidad técnica y costo asociado.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Aplicación de</w:t>
      </w:r>
      <w:r>
        <w:t xml:space="preserve"> </w:t>
      </w:r>
      <w:r>
        <w:rPr>
          <w:bCs/>
          <w:b/>
        </w:rPr>
        <w:t xml:space="preserve">Metodología .42 (N-1)</w:t>
      </w:r>
      <w:r>
        <w:t xml:space="preserve">: Eliminación total de Gateways lógicos hacia terceros (FENOCO).</w:t>
      </w:r>
    </w:p>
    <w:p>
      <w:pPr>
        <w:numPr>
          <w:ilvl w:val="1"/>
          <w:numId w:val="1006"/>
        </w:numPr>
        <w:pStyle w:val="Compact"/>
      </w:pPr>
      <w:r>
        <w:t xml:space="preserve">La interoperabilidad es</w:t>
      </w:r>
      <w:r>
        <w:t xml:space="preserve"> </w:t>
      </w:r>
      <w:r>
        <w:rPr>
          <w:bCs/>
          <w:b/>
        </w:rPr>
        <w:t xml:space="preserve">estrictamente operacional</w:t>
      </w:r>
      <w:r>
        <w:t xml:space="preserve"> </w:t>
      </w:r>
      <w:r>
        <w:t xml:space="preserve">(Handover Digital (Digital Gateway) a bordo).</w:t>
      </w:r>
    </w:p>
    <w:p>
      <w:pPr>
        <w:numPr>
          <w:ilvl w:val="1"/>
          <w:numId w:val="1006"/>
        </w:numPr>
        <w:pStyle w:val="Compact"/>
      </w:pPr>
      <w:r>
        <w:t xml:space="preserve">Se eliminan: Gateways industriales, Middleware externo y Licencias de integración propietaria.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Ahorro Estimado:</w:t>
      </w:r>
      <w:r>
        <w:t xml:space="preserve"> </w:t>
      </w:r>
      <w:r>
        <w:t xml:space="preserve">Blindaje de CAPEX preventivo (25 MM USD en riesgos de integración).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Sincronizada con Dictamen SICC-01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Saneado 2026-04-08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09"/>
        </w:numPr>
        <w:pStyle w:val="Compact"/>
      </w:pPr>
      <w:r>
        <w:t xml:space="preserve">Cotización actualizada</w:t>
      </w:r>
    </w:p>
    <w:p>
      <w:pPr>
        <w:numPr>
          <w:ilvl w:val="1"/>
          <w:numId w:val="1009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09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1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1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1"/>
        </w:numPr>
        <w:pStyle w:val="Compact"/>
      </w:pPr>
      <w:r>
        <w:t xml:space="preserve">5 enclavamientos según AT1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3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3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6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6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6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7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7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7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0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0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0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3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3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3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5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5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5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7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7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7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9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29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1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1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3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3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3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5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5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5"/>
        </w:numPr>
        <w:pStyle w:val="Compact"/>
      </w:pPr>
      <w:r>
        <w:t xml:space="preserve">Certificación ferroviaria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6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8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0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1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4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4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4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4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4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2026-04-09T16:12:08Z</dcterms:created>
  <dcterms:modified xsi:type="dcterms:W3CDTF">2026-04-09T16:12:08Z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