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sistema-03-its-y-seguridad"/>
    <w:p>
      <w:pPr>
        <w:pStyle w:val="Heading1"/>
      </w:pPr>
      <w:r>
        <w:t xml:space="preserve">SISTEMA 03: ITS Y SEGURIDAD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vigilancia y protección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Cs/>
          <w:b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25"/>
    <w:bookmarkStart w:id="26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26"/>
    <w:bookmarkStart w:id="27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Cs/>
          <w:b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27"/>
    <w:bookmarkStart w:id="28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Cs/>
          <w:b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28"/>
    <w:bookmarkStart w:id="29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Cs/>
          <w:b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29"/>
    <w:bookmarkStart w:id="30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Cs/>
          <w:b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Seguridad Física:</w:t>
      </w:r>
      <w:r>
        <w:t xml:space="preserve"> </w:t>
      </w:r>
      <w:r>
        <w:t xml:space="preserve">Sistema crítico (SIL 4 según Seguridad RAMS bajo FRA 236 Subpart I / PTCSP)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Cs/>
          <w:b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Resolución mínima 1080p para todas las cámaras</w:t>
      </w:r>
    </w:p>
    <w:p>
      <w:pPr>
        <w:numPr>
          <w:ilvl w:val="0"/>
          <w:numId w:val="1003"/>
        </w:numPr>
        <w:pStyle w:val="Compact"/>
      </w:pPr>
      <w:r>
        <w:t xml:space="preserve">✅ Almacenamiento 30 días de grabación histórica</w:t>
      </w:r>
    </w:p>
    <w:p>
      <w:pPr>
        <w:numPr>
          <w:ilvl w:val="0"/>
          <w:numId w:val="1003"/>
        </w:numPr>
        <w:pStyle w:val="Compact"/>
      </w:pPr>
      <w:r>
        <w:t xml:space="preserve">✅ Disponibilidad 99.5% de sistemas críticos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8"/>
    <w:bookmarkStart w:id="49" w:name="respuesta-a-eventos"/>
    <w:p>
      <w:pPr>
        <w:pStyle w:val="Heading3"/>
      </w:pPr>
      <w:r>
        <w:t xml:space="preserve">Respuesta a eventos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decisiones-técnicas-aplicadas"/>
    <w:p>
      <w:pPr>
        <w:pStyle w:val="Heading2"/>
      </w:pPr>
      <w:r>
        <w:t xml:space="preserve">📋 DECISIONES TÉCNICAS APLICADAS</w:t>
      </w:r>
    </w:p>
    <w:bookmarkStart w:id="63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numPr>
          <w:ilvl w:val="0"/>
          <w:numId w:val="1008"/>
        </w:numPr>
        <w:pStyle w:val="Compact"/>
      </w:pPr>
      <w:r>
        <w:t xml:space="preserve">Cambio: Cámaras PAN 48 → 73 PTZ 4MP (+52%)</w:t>
      </w:r>
    </w:p>
    <w:p>
      <w:pPr>
        <w:numPr>
          <w:ilvl w:val="0"/>
          <w:numId w:val="1008"/>
        </w:numPr>
        <w:pStyle w:val="Compact"/>
      </w:pPr>
      <w:r>
        <w:t xml:space="preserve">Just: Cobertura completa corredor + nodos críticos</w:t>
      </w:r>
    </w:p>
    <w:p>
      <w:pPr>
        <w:numPr>
          <w:ilvl w:val="0"/>
          <w:numId w:val="1008"/>
        </w:numPr>
        <w:pStyle w:val="Compact"/>
      </w:pPr>
      <w:r>
        <w:t xml:space="preserve">Impacto: +$1,806M (+470%)</w:t>
      </w:r>
    </w:p>
    <w:bookmarkEnd w:id="63"/>
    <w:bookmarkStart w:id="64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numPr>
          <w:ilvl w:val="0"/>
          <w:numId w:val="1009"/>
        </w:numPr>
        <w:pStyle w:val="Compact"/>
      </w:pPr>
      <w:r>
        <w:t xml:space="preserve">Cambio: Actualización precios instalación y sistemas detección PAN</w:t>
      </w:r>
    </w:p>
    <w:p>
      <w:pPr>
        <w:numPr>
          <w:ilvl w:val="0"/>
          <w:numId w:val="1009"/>
        </w:numPr>
        <w:pStyle w:val="Compact"/>
      </w:pPr>
      <w:r>
        <w:t xml:space="preserve">Impacto: +$3,366M</w:t>
      </w:r>
    </w:p>
    <w:bookmarkEnd w:id="64"/>
    <w:bookmarkStart w:id="65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numPr>
          <w:ilvl w:val="0"/>
          <w:numId w:val="1010"/>
        </w:numPr>
        <w:pStyle w:val="Compact"/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2026-04-09T22:25:20Z</dcterms:created>
  <dcterms:modified xsi:type="dcterms:W3CDTF">2026-04-09T22:25:20Z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