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nalización"/>
    <w:p>
      <w:pPr>
        <w:pStyle w:val="Heading1"/>
      </w:pPr>
      <w:r>
        <w:t xml:space="preserve">SISTEMA 01: CONTROL Y SENALIZACIÓN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Senalización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cerebro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PTC Embarcados:</w:t>
      </w:r>
      <w:r>
        <w:t xml:space="preserve"> </w:t>
      </w:r>
      <w:r>
        <w:t xml:space="preserve">PTC Virtual (FRA 236 / AREMA) (reducido de 15 a 8 con DT-TETRA-001)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Bloque Integración:</w:t>
      </w:r>
      <w:r>
        <w:t xml:space="preserve"> </w:t>
      </w:r>
      <w:r>
        <w:t xml:space="preserve">IF-07 agregada (DT-INTERFACES-001) para integración CTC-PTC-FENOCO (Interoperabilidad FRA 918-4)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con filosofía virtual (Soberanía FRA/AREMA 2021 - Sin Filosofía PTC Virtual)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a81a5b17a69d372064076a4f9c4003c34b4a8e5"/>
    <w:p>
      <w:pPr>
        <w:pStyle w:val="Heading3"/>
      </w:pPr>
      <w:r>
        <w:t xml:space="preserve">¿Por qué Filosofía Virtual (sin Filosofía PTC Virtual)?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Filosofía PTC Virtual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</w:t>
      </w:r>
      <w:r>
        <w:t xml:space="preserve"> </w:t>
      </w:r>
      <w:r>
        <w:t xml:space="preserve">| Control centralizado FRA | No aplicable para filosofía propietaria | ✅</w:t>
      </w:r>
      <w:r>
        <w:t xml:space="preserve"> </w:t>
      </w:r>
      <w:r>
        <w:rPr>
          <w:bCs/>
          <w:b/>
        </w:rPr>
        <w:t xml:space="preserve">Arquitectura Base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 (PTC Virtual (SICC))</w:t>
      </w:r>
      <w:r>
        <w:t xml:space="preserve"> </w:t>
      </w:r>
      <w:r>
        <w:t xml:space="preserve">| Estándar Propietario Europeo | Dependencia tecnológica (Monopolio) | ❌</w:t>
      </w:r>
      <w:r>
        <w:t xml:space="preserve"> </w:t>
      </w:r>
      <w:r>
        <w:rPr>
          <w:bCs/>
          <w:b/>
        </w:rPr>
        <w:t xml:space="preserve">Rechazado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 optimizado:</w:t>
      </w:r>
      <w:r>
        <w:t xml:space="preserve"> </w:t>
      </w:r>
      <w:r>
        <w:t xml:space="preserve">Eliminación de 120 senales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simplificado:</w:t>
      </w:r>
      <w:r>
        <w:t xml:space="preserve"> </w:t>
      </w:r>
      <w:r>
        <w:t xml:space="preserve">Sin mantenimiento de senalización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unidades diseno/pruebas: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PTC Virtual (FRA 49 CFR 236):</w:t>
      </w:r>
      <w:r>
        <w:t xml:space="preserve"> </w:t>
      </w:r>
      <w:r>
        <w:t xml:space="preserve">Estándar Americano de alto rendimiento (Sin senales)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Cs/>
          <w:b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Nivel 2</w:t>
      </w:r>
      <w:r>
        <w:t xml:space="preserve"> </w:t>
      </w:r>
      <w:r>
        <w:t xml:space="preserve">| Red Vital IP / TETRA + PTC embarcado | Óptimo costo/beneficio | Requiere Red Vital IP / TETRA | ✅</w:t>
      </w:r>
      <w:r>
        <w:t xml:space="preserve"> </w:t>
      </w:r>
      <w:r>
        <w:rPr>
          <w:bCs/>
          <w:b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3</w:t>
      </w:r>
      <w:r>
        <w:t xml:space="preserve"> </w:t>
      </w:r>
      <w:r>
        <w:t xml:space="preserve">| Moving Block (Sin bloqueo fijo) | Máxima capacidad (V-Block) | Complejidad alta | ❌ Rechazado |</w:t>
      </w:r>
    </w:p>
    <w:p>
      <w:pPr>
        <w:pStyle w:val="BodyText"/>
      </w:pPr>
      <w:r>
        <w:rPr>
          <w:bCs/>
          <w:b/>
        </w:rPr>
        <w:t xml:space="preserve">Justificación de High-Level: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Cs/>
          <w:b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Senalización proporciona</w:t>
      </w:r>
      <w:r>
        <w:t xml:space="preserve"> </w:t>
      </w:r>
      <w:r>
        <w:rPr>
          <w:bCs/>
          <w:b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[PTC Embarcado]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[Infraestructura V-Block]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PaN / Agujas | 50 unidades | En estaciones ENCE y Pasos a Nivel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del sistema completo</w:t>
      </w:r>
    </w:p>
    <w:p>
      <w:pPr>
        <w:numPr>
          <w:ilvl w:val="0"/>
          <w:numId w:val="1003"/>
        </w:numPr>
        <w:pStyle w:val="Compact"/>
      </w:pPr>
      <w:r>
        <w:t xml:space="preserve">✅ Control centralizado desde CCO La Dorada</w:t>
      </w:r>
    </w:p>
    <w:p>
      <w:pPr>
        <w:numPr>
          <w:ilvl w:val="0"/>
          <w:numId w:val="1003"/>
        </w:numPr>
        <w:pStyle w:val="Compact"/>
      </w:pPr>
      <w:r>
        <w:t xml:space="preserve">✅ PTC embarcado en todas las locomotoras</w:t>
      </w:r>
    </w:p>
    <w:p>
      <w:pPr>
        <w:numPr>
          <w:ilvl w:val="0"/>
          <w:numId w:val="1003"/>
        </w:numPr>
        <w:pStyle w:val="Compact"/>
      </w:pPr>
      <w:r>
        <w:t xml:space="preserve">✅ Enclavamientos ENCE en 5 estaciones críticas</w:t>
      </w:r>
    </w:p>
    <w:p>
      <w:pPr>
        <w:numPr>
          <w:ilvl w:val="0"/>
          <w:numId w:val="1003"/>
        </w:numPr>
        <w:pStyle w:val="Compact"/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2"/>
        <w:gridCol w:w="2511"/>
        <w:gridCol w:w="2511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Senalización]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Senalización]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Cs/>
          <w:b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Cs/>
          <w:b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Cs/>
          <w:b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Middleware interoperabilidad:</w:t>
      </w:r>
      <w:r>
        <w:t xml:space="preserve"> </w:t>
      </w:r>
      <w:r>
        <w:t xml:space="preserve">Protocolo FRA/AREMA 2021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Cs/>
          <w:b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CTC ↔ PTC Virtual Nivel 2:</w:t>
      </w:r>
      <w:r>
        <w:t xml:space="preserve"> </w:t>
      </w:r>
      <w:r>
        <w:t xml:space="preserve">Intercambio de telegramas de movimiento y datos de ocupación desde Servidor PTC Central (Non-propietary).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CTC ↔ FENOCO:</w:t>
      </w:r>
      <w:r>
        <w:t xml:space="preserve"> </w:t>
      </w:r>
      <w:r>
        <w:t xml:space="preserve">Gateway FRA/AREMA 2021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Cs/>
          <w:b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Cs/>
          <w:b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Cs/>
          <w:b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 Vital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comunicaciones:</w:t>
      </w:r>
      <w:r>
        <w:t xml:space="preserve"> </w:t>
      </w:r>
      <w:r>
        <w:t xml:space="preserve">Sistema requiere Red Vital IP / TETRA/TETRA operativo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Red Vital IP / TETRA:</w:t>
      </w:r>
      <w:r>
        <w:t xml:space="preserve"> </w:t>
      </w:r>
      <w:r>
        <w:t xml:space="preserve">Comunicaciones críticas para PTC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8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V.1_Senalizacion_Ferroviaria_Detalle_v5.0.md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numPr>
          <w:ilvl w:val="0"/>
          <w:numId w:val="1010"/>
        </w:numPr>
        <w:pStyle w:val="Compact"/>
      </w:pPr>
      <w:r>
        <w:t xml:space="preserve">Cambio: Cantidad PTC 15 → 8 (criterio 5+2+1)</w:t>
      </w:r>
    </w:p>
    <w:p>
      <w:pPr>
        <w:numPr>
          <w:ilvl w:val="0"/>
          <w:numId w:val="1010"/>
        </w:numPr>
        <w:pStyle w:val="Compact"/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numPr>
          <w:ilvl w:val="0"/>
          <w:numId w:val="1011"/>
        </w:numPr>
        <w:pStyle w:val="Compact"/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numPr>
          <w:ilvl w:val="0"/>
          <w:numId w:val="1012"/>
        </w:numPr>
        <w:pStyle w:val="Compact"/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numPr>
          <w:ilvl w:val="0"/>
          <w:numId w:val="1013"/>
        </w:numPr>
        <w:pStyle w:val="Compact"/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2026-04-09T22:21:27Z</dcterms:created>
  <dcterms:modified xsi:type="dcterms:W3CDTF">2026-04-09T22:21:27Z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