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especialidad-01-ingeniería-civil"/>
    <w:p>
      <w:pPr>
        <w:pStyle w:val="Heading1"/>
      </w:pPr>
      <w:r>
        <w:t xml:space="preserve">ESPECIALIDAD 01: INGENIERÍA CIVIL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14"/>
    <w:bookmarkStart w:id="15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15"/>
    <w:bookmarkStart w:id="16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16"/>
    <w:bookmarkStart w:id="17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17"/>
    <w:bookmarkStart w:id="18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21"/>
    <w:bookmarkStart w:id="22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24"/>
    <w:bookmarkStart w:id="25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25"/>
    <w:bookmarkStart w:id="26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31"/>
    <w:bookmarkStart w:id="32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35"/>
    <w:bookmarkStart w:id="3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as-especialidades"/>
    <w:p>
      <w:pPr>
        <w:pStyle w:val="Heading2"/>
      </w:pPr>
      <w:r>
        <w:t xml:space="preserve">🔗 INTERFACES CON OTRAS ESPECIALIDADES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decisiones-tecnicas-aplicadas"/>
    <w:p>
      <w:pPr>
        <w:pStyle w:val="Heading2"/>
      </w:pPr>
      <w:r>
        <w:t xml:space="preserve">📋 DECISIONES TECNICAS APLICADAS</w:t>
      </w:r>
    </w:p>
    <w:bookmarkStart w:id="54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2026-03-16T15:46:27Z</dcterms:created>
  <dcterms:modified xsi:type="dcterms:W3CDTF">2026-03-16T15:46:27Z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