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cronograma-y-recursos"/>
    <w:p>
      <w:pPr>
        <w:pStyle w:val="Heading1"/>
      </w:pPr>
      <w:r>
        <w:t xml:space="preserve">GESTIÓN EJECUTIVA: CRONOGRAMA Y RECURSOS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14"/>
    <w:bookmarkStart w:id="15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15"/>
    <w:bookmarkStart w:id="16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16"/>
    <w:bookmarkStart w:id="17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17"/>
    <w:bookmarkStart w:id="18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gestión"/>
    <w:p>
      <w:pPr>
        <w:pStyle w:val="Heading2"/>
      </w:pPr>
      <w:r>
        <w:t xml:space="preserve">🎯 FUNCIÓN Y PROPÓSITO DE LA GESTIÓN</w:t>
      </w:r>
    </w:p>
    <w:bookmarkStart w:id="20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21"/>
    <w:bookmarkStart w:id="22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24"/>
    <w:bookmarkStart w:id="25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25"/>
    <w:bookmarkStart w:id="26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35"/>
    <w:bookmarkStart w:id="36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aspectos"/>
    <w:p>
      <w:pPr>
        <w:pStyle w:val="Heading2"/>
      </w:pPr>
      <w:r>
        <w:t xml:space="preserve">🔗 INTERFACES CON OTROS ASPECTOS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2026-03-16T15:46:29Z</dcterms:created>
  <dcterms:modified xsi:type="dcterms:W3CDTF">2026-03-16T15:46:29Z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