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gestión-ejecutiva-alcance-y-objetivos"/>
    <w:p>
      <w:pPr>
        <w:pStyle w:val="Heading1"/>
      </w:pPr>
      <w:r>
        <w:t xml:space="preserve">GESTIÓN EJECUTIVA: ALCANCE Y OBJETIVOS</w:t>
      </w:r>
    </w:p>
    <w:bookmarkStart w:id="9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TETRA/RED TETRA (Misión Crítica)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14"/>
    <w:bookmarkStart w:id="15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15"/>
    <w:bookmarkStart w:id="16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16"/>
    <w:bookmarkStart w:id="17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17"/>
    <w:bookmarkStart w:id="18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l-proyecto"/>
    <w:p>
      <w:pPr>
        <w:pStyle w:val="Heading2"/>
      </w:pPr>
      <w:r>
        <w:t xml:space="preserve">🎯 FUNCIÓN Y PROPÓSITO DEL PROYECTO</w:t>
      </w:r>
    </w:p>
    <w:bookmarkStart w:id="20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20"/>
    <w:bookmarkStart w:id="21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21"/>
    <w:bookmarkStart w:id="22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24"/>
    <w:bookmarkStart w:id="25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25"/>
    <w:bookmarkStart w:id="26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31"/>
    <w:bookmarkStart w:id="3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35"/>
    <w:bookmarkStart w:id="36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os-proyectos"/>
    <w:p>
      <w:pPr>
        <w:pStyle w:val="Heading2"/>
      </w:pPr>
      <w:r>
        <w:t xml:space="preserve">🔗 INTERFACES CON OTROS PROYECTOS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2026-03-16T15:34:36Z</dcterms:created>
  <dcterms:modified xsi:type="dcterms:W3CDTF">2026-03-16T15:34:36Z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