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4-material-rodante"/>
    <w:p>
      <w:pPr>
        <w:pStyle w:val="Heading1"/>
      </w:pPr>
      <w:r>
        <w:t xml:space="preserve">SISTEMA 04: MATERIAL RODANTE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(FRA 236),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16"/>
    <w:bookmarkStart w:id="17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18"/>
    <w:bookmarkStart w:id="19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19"/>
    <w:bookmarkStart w:id="20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8"/>
    <w:bookmarkStart w:id="29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PTC embarcado PTC Virtual (FRA 236)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2026-03-16T15:34:38Z</dcterms:created>
  <dcterms:modified xsi:type="dcterms:W3CDTF">2026-03-16T15:34:38Z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