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Seguridad RAMS bajo FRA 236 Subpart I / PTCSP)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2026-04-09T19:35:28Z</dcterms:created>
  <dcterms:modified xsi:type="dcterms:W3CDTF">2026-04-09T19:35:28Z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