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director de orquesta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CTC-PTC (FFFIS), TETRA-Red Vital IP / TETRA, ITS-Seguridad, Material Rodante-PTC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Cs/>
          <w:b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TETRA-Red Vital IP / TETRA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920-2</w:t>
      </w:r>
      <w:r>
        <w:t xml:space="preserve"> </w:t>
      </w:r>
      <w:r>
        <w:t xml:space="preserve">| Comunicaciones Red Vital IP / TETRA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438</w:t>
      </w:r>
      <w:r>
        <w:t xml:space="preserve"> </w:t>
      </w:r>
      <w:r>
        <w:t xml:space="preserve">| Senalización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930</w:t>
      </w:r>
      <w:r>
        <w:t xml:space="preserve"> </w:t>
      </w:r>
      <w:r>
        <w:t xml:space="preserve">| Sistemas de senalización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Cs/>
          <w:b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Cs/>
          <w:b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Cs/>
          <w:b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Cs/>
          <w:b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Vital IP / TETRA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Senalización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operativas entre sistemas</w:t>
      </w:r>
    </w:p>
    <w:p>
      <w:pPr>
        <w:numPr>
          <w:ilvl w:val="0"/>
          <w:numId w:val="1003"/>
        </w:numPr>
        <w:pStyle w:val="Compact"/>
      </w:pPr>
      <w:r>
        <w:t xml:space="preserve">✅ 15 protocolos de comunicación implementados</w:t>
      </w:r>
    </w:p>
    <w:p>
      <w:pPr>
        <w:numPr>
          <w:ilvl w:val="0"/>
          <w:numId w:val="1003"/>
        </w:numPr>
        <w:pStyle w:val="Compact"/>
      </w:pPr>
      <w:r>
        <w:t xml:space="preserve">✅ 12 APIs de integración funcionales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coordinación</w:t>
      </w:r>
    </w:p>
    <w:p>
      <w:pPr>
        <w:numPr>
          <w:ilvl w:val="0"/>
          <w:numId w:val="1003"/>
        </w:numPr>
        <w:pStyle w:val="Compact"/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06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2026-04-09T19:35:29Z</dcterms:created>
  <dcterms:modified xsi:type="dcterms:W3CDTF">2026-04-09T19:35:29Z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