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sistema-01-control-y-señalización"/>
    <w:p>
      <w:pPr>
        <w:pStyle w:val="Heading1"/>
      </w:pPr>
      <w:r>
        <w:t xml:space="preserve">SISTEMA 01: CONTROL Y SEÑALIZACIÓN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PTC Embarcados:</w:t>
      </w:r>
      <w:r>
        <w:t xml:space="preserve"> </w:t>
      </w:r>
      <w:r>
        <w:t xml:space="preserve">PTC PTC Virtual (FRA 236)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14"/>
    <w:bookmarkStart w:id="15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(FRA 236):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15"/>
    <w:bookmarkStart w:id="16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16"/>
    <w:bookmarkStart w:id="17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17"/>
    <w:bookmarkStart w:id="18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PTC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18"/>
    <w:bookmarkStart w:id="19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PTC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37"/>
    <w:bookmarkStart w:id="38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41"/>
    <w:bookmarkStart w:id="42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PTC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decisiones-técnicas-aplicadas"/>
    <w:p>
      <w:pPr>
        <w:pStyle w:val="Heading2"/>
      </w:pPr>
      <w:r>
        <w:t xml:space="preserve">📋 DECISIONES TÉCNICAS APLICADAS</w:t>
      </w:r>
    </w:p>
    <w:bookmarkStart w:id="57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PTC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57"/>
    <w:bookmarkStart w:id="58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58"/>
    <w:bookmarkStart w:id="59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59"/>
    <w:bookmarkStart w:id="60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2026-03-16T15:39:55Z</dcterms:created>
  <dcterms:modified xsi:type="dcterms:W3CDTF">2026-03-16T15:39:55Z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