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/>
          <w:bCs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“sistema nervioso”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TETRA/GSM-R:</w:t>
      </w:r>
      <w:r>
        <w:t xml:space="preserve"> </w:t>
      </w:r>
      <w:r>
        <w:t xml:space="preserve">Justificado por radio de cobertura de 15 km por estación con 20% solapamiento sobre corredor de 594 km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594 km fibra óptica: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garantizada por diseño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TETRA, 99.95% GSM-R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37-estaciones-tetragsm-r"/>
    <w:p>
      <w:pPr>
        <w:pStyle w:val="Heading3"/>
      </w:pPr>
      <w:r>
        <w:t xml:space="preserve">¿Por qué 37 estaciones TETRA/GSM-R?</w:t>
      </w:r>
    </w:p>
    <w:p>
      <w:pPr>
        <w:pStyle w:val="FirstParagraph"/>
      </w:pPr>
      <w:r>
        <w:rPr>
          <w:b/>
          <w:bCs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 por estación:</w:t>
      </w:r>
      <w:r>
        <w:t xml:space="preserve"> </w:t>
      </w:r>
      <w:r>
        <w:t xml:space="preserve">15 km (según especificaciones TETRA/GSM-R)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total:</w:t>
      </w:r>
      <w:r>
        <w:t xml:space="preserve"> </w:t>
      </w:r>
      <w:r>
        <w:t xml:space="preserve">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km/estación = 49.5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/>
          <w:bCs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TETRA + GSM-R en la misma torre</w:t>
      </w:r>
    </w:p>
    <w:bookmarkEnd w:id="25"/>
    <w:bookmarkStart w:id="26" w:name="por-qué-594-km-de-fibra-óptica"/>
    <w:p>
      <w:pPr>
        <w:pStyle w:val="Heading3"/>
      </w:pPr>
      <w:r>
        <w:t xml:space="preserve">¿Por qué 594 km de fibra óptica?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Redondeo técnico:</w:t>
      </w:r>
      <w:r>
        <w:t xml:space="preserve"> </w:t>
      </w:r>
      <w:r>
        <w:t xml:space="preserve">594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/>
          <w:bCs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“doble anillo”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/>
          <w:bCs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/>
          <w:bCs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/>
          <w:bCs/>
        </w:rPr>
        <w:t xml:space="preserve">Criterios de Diseño: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por-qué-tetra-gsm-r-no-solo-uno"/>
    <w:p>
      <w:pPr>
        <w:pStyle w:val="Heading3"/>
      </w:pPr>
      <w:r>
        <w:t xml:space="preserve">¿Por qué TETRA + GSM-R (no solo uno)?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GSM-R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GSM-R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GSM-R:</w:t>
      </w:r>
      <w:r>
        <w:t xml:space="preserve"> </w:t>
      </w:r>
      <w:r>
        <w:t xml:space="preserve">Especializado en datos críticos (ATP,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Si falla uno, el otro mantiene operación básica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/>
          <w:bCs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/>
          <w:bCs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/>
          <w:bCs/>
        </w:rPr>
        <w:t xml:space="preserve">Justificación de cantidad (30 unidades) según Metodología Punto 42: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048"/>
        <w:gridCol w:w="2731"/>
        <w:gridCol w:w="9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/>
          <w:bCs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/>
          <w:bCs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istema-gsm-r---red-de-datos-críticos"/>
    <w:p>
      <w:pPr>
        <w:pStyle w:val="Heading3"/>
      </w:pPr>
      <w:r>
        <w:t xml:space="preserve">2. Sistema GSM-R - Red de Datos Críticos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GSM-R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594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DWDM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Cobertura 100% del corredor</w:t>
      </w:r>
    </w:p>
    <w:p>
      <w:pPr>
        <w:pStyle w:val="Compact"/>
        <w:numPr>
          <w:ilvl w:val="0"/>
          <w:numId w:val="1003"/>
        </w:numPr>
      </w:pPr>
      <w:r>
        <w:t xml:space="preserve">✅ Disponibilidad 99.95% para GSM-R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ANE</w:t>
      </w:r>
    </w:p>
    <w:p>
      <w:pPr>
        <w:pStyle w:val="Compact"/>
        <w:numPr>
          <w:ilvl w:val="0"/>
          <w:numId w:val="1003"/>
        </w:numPr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/>
          <w:bCs/>
        </w:rPr>
        <w:t xml:space="preserve">296 kW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señal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equipos y calidad de señal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Cobertura puede reducirse en zonas montañosas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Vandalismo:</w:t>
      </w:r>
      <w:r>
        <w:t xml:space="preserve"> </w:t>
      </w:r>
      <w:r>
        <w:t xml:space="preserve">Torres remotas susceptibles a daños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Suministro de equipos TETRA/GSM-R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TETRA + GSM-R + Fibra según estándares - Cumplida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TETRA, GSM-R, Fibra óptica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2026-03-13T17:26:49Z</dcterms:created>
  <dcterms:modified xsi:type="dcterms:W3CDTF">2026-03-13T17:26:49Z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