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67" w:name="sistema-05-infraestructura-operativa"/>
    <w:p>
      <w:pPr>
        <w:pStyle w:val="Heading1"/>
      </w:pPr>
      <w:r>
        <w:t xml:space="preserve">SISTEMA 05: INFRAESTRUCTURA OPERATIVA</w:t>
      </w:r>
    </w:p>
    <w:bookmarkStart w:id="20" w:name="documento-ejecutivo-de-ingeniería"/>
    <w:p>
      <w:pPr>
        <w:pStyle w:val="Heading2"/>
      </w:pPr>
      <w:r>
        <w:t xml:space="preserve">Documento Ejecutivo de Ingeniería</w:t>
      </w:r>
    </w:p>
    <w:p>
      <w:r>
        <w:pict>
          <v:rect style="width:0;height:1.5pt" o:hralign="center" o:hrstd="t" o:hr="t"/>
        </w:pict>
      </w:r>
    </w:p>
    <w:bookmarkEnd w:id="20"/>
    <w:bookmarkStart w:id="24" w:name="resumen-ejecutivo"/>
    <w:p>
      <w:pPr>
        <w:pStyle w:val="Heading2"/>
      </w:pPr>
      <w:r>
        <w:t xml:space="preserve">📊 RESUMEN EJECUTIVO</w:t>
      </w:r>
    </w:p>
    <w:bookmarkStart w:id="21" w:name="qué-es-este-sistema-y-por-qué-importa"/>
    <w:p>
      <w:pPr>
        <w:pStyle w:val="Heading3"/>
      </w:pPr>
      <w:r>
        <w:t xml:space="preserve">Qué es este sistema y por qué importa</w:t>
      </w:r>
    </w:p>
    <w:p>
      <w:pPr>
        <w:pStyle w:val="FirstParagraph"/>
      </w:pPr>
      <w:r>
        <w:t xml:space="preserve">El Sistema de Infraestructura Operativa es la</w:t>
      </w:r>
      <w:r>
        <w:t xml:space="preserve"> </w:t>
      </w:r>
      <w:r>
        <w:rPr>
          <w:b/>
          <w:bCs/>
        </w:rPr>
        <w:t xml:space="preserve">“base física”</w:t>
      </w:r>
      <w:r>
        <w:t xml:space="preserve"> </w:t>
      </w:r>
      <w:r>
        <w:t xml:space="preserve">del ferrocarril que proporciona las instalaciones, edificaciones y servicios necesarios para la operación del corredor. Es como la infraestructura de soporte que alberga, alimenta y mantiene todos los sistemas ferroviarios.</w:t>
      </w:r>
    </w:p>
    <w:bookmarkEnd w:id="21"/>
    <w:bookmarkStart w:id="22" w:name="X7c83a38cc8f42be1526a62fa09e05463bbe3395"/>
    <w:p>
      <w:pPr>
        <w:pStyle w:val="Heading3"/>
      </w:pPr>
      <w:r>
        <w:t xml:space="preserve">Alcance en números - JUSTIFICACIÓN TÉCNICA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Inversión estimada:</w:t>
      </w:r>
      <w:r>
        <w:t xml:space="preserve"> </w:t>
      </w:r>
      <w:r>
        <w:t xml:space="preserve">$65,000 millones COP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1 CCO:</w:t>
      </w:r>
      <w:r>
        <w:t xml:space="preserve"> </w:t>
      </w:r>
      <w:r>
        <w:t xml:space="preserve">Centro de Control Operativo en La Dorada (250 m² sala control + 200 m² sala servidores)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5 estaciones ENCE:</w:t>
      </w:r>
      <w:r>
        <w:t xml:space="preserve"> </w:t>
      </w:r>
      <w:r>
        <w:t xml:space="preserve">Zapatosa, García Cadena, Barrancabermeja, Puerto Berrío-Grecia, La Dorada-México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12 subestaciones:</w:t>
      </w:r>
      <w:r>
        <w:t xml:space="preserve"> </w:t>
      </w:r>
      <w:r>
        <w:t xml:space="preserve">4 principales + 8 de distribución para alimentación eléctrica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37 estaciones telecomunicaciones:</w:t>
      </w:r>
      <w:r>
        <w:t xml:space="preserve"> </w:t>
      </w:r>
      <w:r>
        <w:t xml:space="preserve">Torres TETRA/RED TETRA (Misión Crítica) colocalizadas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Infraestructura civil:</w:t>
      </w:r>
      <w:r>
        <w:t xml:space="preserve"> </w:t>
      </w:r>
      <w:r>
        <w:t xml:space="preserve">Edificaciones, puentes, 146 pasos a nivel, drenaje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Cobertura:</w:t>
      </w:r>
      <w:r>
        <w:t xml:space="preserve"> </w:t>
      </w:r>
      <w:r>
        <w:t xml:space="preserve">100% del corredor + instalaciones de soporte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Disponibilidad requerida:</w:t>
      </w:r>
      <w:r>
        <w:t xml:space="preserve"> </w:t>
      </w:r>
      <w:r>
        <w:t xml:space="preserve">99.95% CCO, 99.5% estaciones (según AT4)</w:t>
      </w:r>
    </w:p>
    <w:bookmarkEnd w:id="22"/>
    <w:bookmarkStart w:id="23" w:name="hitos-críticos"/>
    <w:p>
      <w:pPr>
        <w:pStyle w:val="Heading3"/>
      </w:pPr>
      <w:r>
        <w:t xml:space="preserve">Hitos críticos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Fecha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Diseño Conceptual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Enero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Completado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Construcción CCO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Marzo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progreso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Construcción Estaciones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Abril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progreso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Comisionamiento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Mayo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Pendiente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3"/>
    <w:bookmarkEnd w:id="24"/>
    <w:bookmarkStart w:id="32" w:name="X16ad1bf8fd3c72f4f9f37ec0fde01a31e7fb65a"/>
    <w:p>
      <w:pPr>
        <w:pStyle w:val="Heading2"/>
      </w:pPr>
      <w:r>
        <w:t xml:space="preserve">🔍 CRITERIOS DE DISEÑO Y JUSTIFICACIONES TÉCNICAS</w:t>
      </w:r>
    </w:p>
    <w:bookmarkStart w:id="25" w:name="Xc9badb7444c1cd21e6f2c2bd7555af602b6f7c8"/>
    <w:p>
      <w:pPr>
        <w:pStyle w:val="Heading3"/>
      </w:pPr>
      <w:r>
        <w:t xml:space="preserve">¿Por qué 1 CCO en La Dorada específicamente?</w:t>
      </w:r>
    </w:p>
    <w:p>
      <w:pPr>
        <w:pStyle w:val="FirstParagraph"/>
      </w:pPr>
      <w:r>
        <w:rPr>
          <w:b/>
          <w:bCs/>
        </w:rPr>
        <w:t xml:space="preserve">Justificación de Ubicación (AT1 UF2 Tabla 16):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Ubicación:</w:t>
      </w:r>
      <w:r>
        <w:t xml:space="preserve"> </w:t>
      </w:r>
      <w:r>
        <w:t xml:space="preserve">La Dorada, Caldas (Km 0+000 del corredor)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Área total:</w:t>
      </w:r>
      <w:r>
        <w:t xml:space="preserve"> </w:t>
      </w:r>
      <w:r>
        <w:t xml:space="preserve">1,100 m² (850 m² edificio principal + 250 m² áreas auxiliares)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Sala de control:</w:t>
      </w:r>
      <w:r>
        <w:t xml:space="preserve"> </w:t>
      </w:r>
      <w:r>
        <w:t xml:space="preserve">250 m² con consolas de operación y monitoreo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Sala de servidores:</w:t>
      </w:r>
      <w:r>
        <w:t xml:space="preserve"> </w:t>
      </w:r>
      <w:r>
        <w:t xml:space="preserve">200 m² con equipos críticos y climatización especial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Criterio:</w:t>
      </w:r>
      <w:r>
        <w:t xml:space="preserve"> </w:t>
      </w:r>
      <w:r>
        <w:t xml:space="preserve">Punto de inicio del corredor, accesibilidad, servicios disponibles</w:t>
      </w:r>
    </w:p>
    <w:bookmarkEnd w:id="25"/>
    <w:bookmarkStart w:id="26" w:name="X2ce6ca7ad0079b905a446a18a9e34c4504381da"/>
    <w:p>
      <w:pPr>
        <w:pStyle w:val="Heading3"/>
      </w:pPr>
      <w:r>
        <w:t xml:space="preserve">¿Por qué 5 estaciones ENCE específicamente?</w:t>
      </w:r>
    </w:p>
    <w:p>
      <w:pPr>
        <w:pStyle w:val="FirstParagraph"/>
      </w:pPr>
      <w:r>
        <w:rPr>
          <w:b/>
          <w:bCs/>
        </w:rPr>
        <w:t xml:space="preserve">Justificación de Ubicaciones:</w:t>
      </w:r>
      <w:r>
        <w:t xml:space="preserve"> </w:t>
      </w:r>
      <w:r>
        <w:t xml:space="preserve">| Estación | Ubicación | Área | Justificación |</w:t>
      </w:r>
      <w:r>
        <w:t xml:space="preserve"> </w:t>
      </w:r>
      <w:r>
        <w:t xml:space="preserve">|:———|:———-|:—–|:————–|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Zapatosa</w:t>
      </w:r>
      <w:r>
        <w:t xml:space="preserve"> </w:t>
      </w:r>
      <w:r>
        <w:t xml:space="preserve">| Zapatosa | 200 m² | Estación principal con maniobras complejas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García Cadena</w:t>
      </w:r>
      <w:r>
        <w:t xml:space="preserve"> </w:t>
      </w:r>
      <w:r>
        <w:t xml:space="preserve">| García Cadena | 200 m² | Estación principal con maniobras complejas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Barrancabermeja</w:t>
      </w:r>
      <w:r>
        <w:t xml:space="preserve"> </w:t>
      </w:r>
      <w:r>
        <w:t xml:space="preserve">| Barrancabermeja | 300 m² | Estación principal con maniobras complejas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Puerto Berrío-Grecia</w:t>
      </w:r>
      <w:r>
        <w:t xml:space="preserve"> </w:t>
      </w:r>
      <w:r>
        <w:t xml:space="preserve">| Puerto Berrío | 250 m² | Estación principal con maniobras complejas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La Dorada-México</w:t>
      </w:r>
      <w:r>
        <w:t xml:space="preserve"> </w:t>
      </w:r>
      <w:r>
        <w:t xml:space="preserve">| La Dorada | 300 m² | Estación principal con maniobras complejas |</w:t>
      </w:r>
    </w:p>
    <w:p>
      <w:pPr>
        <w:pStyle w:val="BodyText"/>
      </w:pPr>
      <w:r>
        <w:rPr>
          <w:b/>
          <w:bCs/>
        </w:rPr>
        <w:t xml:space="preserve">Criterio de selección:</w:t>
      </w:r>
      <w:r>
        <w:t xml:space="preserve"> </w:t>
      </w:r>
      <w:r>
        <w:t xml:space="preserve">Solo estaciones con conflictos de rutas requieren ENCE</w:t>
      </w:r>
    </w:p>
    <w:bookmarkEnd w:id="26"/>
    <w:bookmarkStart w:id="27" w:name="Xd9b38136ee5d1d3608aeeb3a9256a1ed01201da"/>
    <w:p>
      <w:pPr>
        <w:pStyle w:val="Heading3"/>
      </w:pPr>
      <w:r>
        <w:t xml:space="preserve">¿Por qué 12 subestaciones (4 principales + 8 distribución)?</w:t>
      </w:r>
    </w:p>
    <w:p>
      <w:pPr>
        <w:pStyle w:val="FirstParagraph"/>
      </w:pPr>
      <w:r>
        <w:rPr>
          <w:b/>
          <w:bCs/>
        </w:rPr>
        <w:t xml:space="preserve">Justificación de Distribución: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4 subestaciones principales:</w:t>
      </w:r>
      <w:r>
        <w:t xml:space="preserve"> </w:t>
      </w:r>
      <w:r>
        <w:t xml:space="preserve">La Dorada, Puerto Berrío, Barrancabermeja, Chiriguaná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Justificación:</w:t>
      </w:r>
      <w:r>
        <w:t xml:space="preserve"> </w:t>
      </w:r>
      <w:r>
        <w:t xml:space="preserve">Puntos principales de transformación y distribución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Capacidad:</w:t>
      </w:r>
      <w:r>
        <w:t xml:space="preserve"> </w:t>
      </w:r>
      <w:r>
        <w:t xml:space="preserve">Transformación de alta tensión a media tensión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8 subestaciones de distribución:</w:t>
      </w:r>
      <w:r>
        <w:t xml:space="preserve"> </w:t>
      </w:r>
      <w:r>
        <w:t xml:space="preserve">Ubicaciones intermedias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Justificación:</w:t>
      </w:r>
      <w:r>
        <w:t xml:space="preserve"> </w:t>
      </w:r>
      <w:r>
        <w:t xml:space="preserve">Distribución de energía a lo largo del corredor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Capacidad:</w:t>
      </w:r>
      <w:r>
        <w:t xml:space="preserve"> </w:t>
      </w:r>
      <w:r>
        <w:t xml:space="preserve">Transformación de media tensión a baja tensión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Criterio:</w:t>
      </w:r>
      <w:r>
        <w:t xml:space="preserve"> </w:t>
      </w:r>
      <w:r>
        <w:t xml:space="preserve">1 subestación cada 75 km aproximadamente</w:t>
      </w:r>
    </w:p>
    <w:bookmarkEnd w:id="27"/>
    <w:bookmarkStart w:id="28" w:name="Xfc007db615e3f01de3a956e671d2a04d3bf3461"/>
    <w:p>
      <w:pPr>
        <w:pStyle w:val="Heading3"/>
      </w:pPr>
      <w:r>
        <w:t xml:space="preserve">¿Por qué 37 estaciones de telecomunicaciones?</w:t>
      </w:r>
    </w:p>
    <w:p>
      <w:pPr>
        <w:pStyle w:val="FirstParagraph"/>
      </w:pPr>
      <w:r>
        <w:rPr>
          <w:b/>
          <w:bCs/>
        </w:rPr>
        <w:t xml:space="preserve">Justificación Técnica: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Colocalización:</w:t>
      </w:r>
      <w:r>
        <w:t xml:space="preserve"> </w:t>
      </w:r>
      <w:r>
        <w:t xml:space="preserve">Torres TETRA/RED TETRA (Misión Crítica) en las mismas ubicaciones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Cobertura:</w:t>
      </w:r>
      <w:r>
        <w:t xml:space="preserve"> </w:t>
      </w:r>
      <w:r>
        <w:t xml:space="preserve">Radio de 15 km por estación con solapamiento 20%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Cálculo:</w:t>
      </w:r>
      <w:r>
        <w:t xml:space="preserve"> </w:t>
      </w:r>
      <w:r>
        <w:t xml:space="preserve">594 km ÷ 12 km efectivo = 37 estaciones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Optimización:</w:t>
      </w:r>
      <w:r>
        <w:t xml:space="preserve"> </w:t>
      </w:r>
      <w:r>
        <w:t xml:space="preserve">Compartir infraestructura (torres, alimentación, respaldo)</w:t>
      </w:r>
    </w:p>
    <w:bookmarkEnd w:id="28"/>
    <w:bookmarkStart w:id="29" w:name="por-qué-146-pasos-a-nivel"/>
    <w:p>
      <w:pPr>
        <w:pStyle w:val="Heading3"/>
      </w:pPr>
      <w:r>
        <w:t xml:space="preserve">¿Por qué 146 pasos a nivel?</w:t>
      </w:r>
    </w:p>
    <w:p>
      <w:pPr>
        <w:pStyle w:val="FirstParagraph"/>
      </w:pPr>
      <w:r>
        <w:rPr>
          <w:b/>
          <w:bCs/>
        </w:rPr>
        <w:t xml:space="preserve">Justificación Contractual: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Inventario existente:</w:t>
      </w:r>
      <w:r>
        <w:t xml:space="preserve"> </w:t>
      </w:r>
      <w:r>
        <w:t xml:space="preserve">146 pasos a nivel identificados en el corredor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Automatización:</w:t>
      </w:r>
      <w:r>
        <w:t xml:space="preserve"> </w:t>
      </w:r>
      <w:r>
        <w:t xml:space="preserve">Todos los pasos a nivel con sistemas de seguridad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Criterio:</w:t>
      </w:r>
      <w:r>
        <w:t xml:space="preserve"> </w:t>
      </w:r>
      <w:r>
        <w:t xml:space="preserve">Cobertura completa del corredor ferroviario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Seguridad:</w:t>
      </w:r>
      <w:r>
        <w:t xml:space="preserve"> </w:t>
      </w:r>
      <w:r>
        <w:t xml:space="preserve">Sistemas automáticos de barreras y señales</w:t>
      </w:r>
    </w:p>
    <w:bookmarkEnd w:id="29"/>
    <w:bookmarkStart w:id="30" w:name="por-qué-dimensiones-específicas-del-cco"/>
    <w:p>
      <w:pPr>
        <w:pStyle w:val="Heading3"/>
      </w:pPr>
      <w:r>
        <w:t xml:space="preserve">¿Por qué dimensiones específicas del CCO?</w:t>
      </w:r>
    </w:p>
    <w:p>
      <w:pPr>
        <w:pStyle w:val="FirstParagraph"/>
      </w:pPr>
      <w:r>
        <w:rPr>
          <w:b/>
          <w:bCs/>
        </w:rPr>
        <w:t xml:space="preserve">Justificación de Áreas (AT1 UF2 Tabla 16):</w:t>
      </w:r>
      <w:r>
        <w:t xml:space="preserve"> </w:t>
      </w:r>
      <w:r>
        <w:t xml:space="preserve">| Componente | Área | Justificación |</w:t>
      </w:r>
      <w:r>
        <w:t xml:space="preserve"> </w:t>
      </w:r>
      <w:r>
        <w:t xml:space="preserve">|:———–|:—–|:————–|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Sala de Control</w:t>
      </w:r>
      <w:r>
        <w:t xml:space="preserve"> </w:t>
      </w:r>
      <w:r>
        <w:t xml:space="preserve">| 250 m² | Consolas de operación, monitoreo, personal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Sala de Servidores</w:t>
      </w:r>
      <w:r>
        <w:t xml:space="preserve"> </w:t>
      </w:r>
      <w:r>
        <w:t xml:space="preserve">| 200 m² | Equipos críticos, climatización, respaldo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Oficinas</w:t>
      </w:r>
      <w:r>
        <w:t xml:space="preserve"> </w:t>
      </w:r>
      <w:r>
        <w:t xml:space="preserve">| 150 m² | Personal técnico y administrativo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Área de Respaldo</w:t>
      </w:r>
      <w:r>
        <w:t xml:space="preserve"> </w:t>
      </w:r>
      <w:r>
        <w:t xml:space="preserve">| 100 m² | Sistemas UPS y generadores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Estacionamiento</w:t>
      </w:r>
      <w:r>
        <w:t xml:space="preserve"> </w:t>
      </w:r>
      <w:r>
        <w:t xml:space="preserve">| 500 m² | Personal operativo |</w:t>
      </w:r>
    </w:p>
    <w:bookmarkEnd w:id="30"/>
    <w:bookmarkStart w:id="31" w:name="por-qué-disponibilidad-diferenciada"/>
    <w:p>
      <w:pPr>
        <w:pStyle w:val="Heading3"/>
      </w:pPr>
      <w:r>
        <w:t xml:space="preserve">¿Por qué disponibilidad diferenciada?</w:t>
      </w:r>
    </w:p>
    <w:p>
      <w:pPr>
        <w:pStyle w:val="FirstParagraph"/>
      </w:pPr>
      <w:r>
        <w:rPr>
          <w:b/>
          <w:bCs/>
        </w:rPr>
        <w:t xml:space="preserve">Criterios de Disponibilidad (AT4):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99.95% CCO:</w:t>
      </w:r>
      <w:r>
        <w:t xml:space="preserve"> </w:t>
      </w:r>
      <w:r>
        <w:t xml:space="preserve">Sistema crítico para operación ferroviaria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99.5% Estaciones:</w:t>
      </w:r>
      <w:r>
        <w:t xml:space="preserve"> </w:t>
      </w:r>
      <w:r>
        <w:t xml:space="preserve">Infraestructura general con redundancia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99.95% Subestaciones principales:</w:t>
      </w:r>
      <w:r>
        <w:t xml:space="preserve"> </w:t>
      </w:r>
      <w:r>
        <w:t xml:space="preserve">Sistemas críticos de alimentación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99.5% Subestaciones distribución:</w:t>
      </w:r>
      <w:r>
        <w:t xml:space="preserve"> </w:t>
      </w:r>
      <w:r>
        <w:t xml:space="preserve">Sistemas auxiliares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36" w:name="función-y-propósito-del-sistema"/>
    <w:p>
      <w:pPr>
        <w:pStyle w:val="Heading2"/>
      </w:pPr>
      <w:r>
        <w:t xml:space="preserve">🎯 FUNCIÓN Y PROPÓSITO DEL SISTEMA</w:t>
      </w:r>
    </w:p>
    <w:bookmarkStart w:id="33" w:name="qué-hace-este-sistema"/>
    <w:p>
      <w:pPr>
        <w:pStyle w:val="Heading3"/>
      </w:pPr>
      <w:r>
        <w:t xml:space="preserve">¿Qué hace este sistema?</w:t>
      </w:r>
    </w:p>
    <w:p>
      <w:pPr>
        <w:pStyle w:val="FirstParagraph"/>
      </w:pPr>
      <w:r>
        <w:t xml:space="preserve">El Sistema de Infraestructura Operativa proporciona</w:t>
      </w:r>
      <w:r>
        <w:t xml:space="preserve"> </w:t>
      </w:r>
      <w:r>
        <w:rPr>
          <w:b/>
          <w:bCs/>
        </w:rPr>
        <w:t xml:space="preserve">soporte físico</w:t>
      </w:r>
      <w:r>
        <w:t xml:space="preserve"> </w:t>
      </w:r>
      <w:r>
        <w:t xml:space="preserve">para la operación ferroviaria: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Centro de Control:</w:t>
      </w:r>
      <w:r>
        <w:t xml:space="preserve"> </w:t>
      </w:r>
      <w:r>
        <w:t xml:space="preserve">Instalaciones para operación centralizada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Estaciones:</w:t>
      </w:r>
      <w:r>
        <w:t xml:space="preserve"> </w:t>
      </w:r>
      <w:r>
        <w:t xml:space="preserve">Puntos de parada y servicios para el ferrocarril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Subestaciones:</w:t>
      </w:r>
      <w:r>
        <w:t xml:space="preserve"> </w:t>
      </w:r>
      <w:r>
        <w:t xml:space="preserve">Alimentación eléctrica para sistemas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Infraestructura de soporte:</w:t>
      </w:r>
      <w:r>
        <w:t xml:space="preserve"> </w:t>
      </w:r>
      <w:r>
        <w:t xml:space="preserve">Edificaciones, accesos, servicios</w:t>
      </w:r>
    </w:p>
    <w:bookmarkEnd w:id="33"/>
    <w:bookmarkStart w:id="34" w:name="por-qué-lo-necesitamos"/>
    <w:p>
      <w:pPr>
        <w:pStyle w:val="Heading3"/>
      </w:pPr>
      <w:r>
        <w:t xml:space="preserve">¿Por qué lo necesitamos?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Operación:</w:t>
      </w:r>
      <w:r>
        <w:t xml:space="preserve"> </w:t>
      </w:r>
      <w:r>
        <w:t xml:space="preserve">Instalaciones para control centralizado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Servicios:</w:t>
      </w:r>
      <w:r>
        <w:t xml:space="preserve"> </w:t>
      </w:r>
      <w:r>
        <w:t xml:space="preserve">Puntos de atención y mantenimiento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Alimentación:</w:t>
      </w:r>
      <w:r>
        <w:t xml:space="preserve"> </w:t>
      </w:r>
      <w:r>
        <w:t xml:space="preserve">Energía eléctrica para todos los sistemas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Soporte:</w:t>
      </w:r>
      <w:r>
        <w:t xml:space="preserve"> </w:t>
      </w:r>
      <w:r>
        <w:t xml:space="preserve">Infraestructura para personal y equipos</w:t>
      </w:r>
    </w:p>
    <w:bookmarkEnd w:id="34"/>
    <w:bookmarkStart w:id="35" w:name="cómo-se-integra-con-otros-sistemas"/>
    <w:p>
      <w:pPr>
        <w:pStyle w:val="Heading3"/>
      </w:pPr>
      <w:r>
        <w:t xml:space="preserve">¿Cómo se integra con otros sistemas?</w:t>
      </w:r>
    </w:p>
    <w:p>
      <w:pPr>
        <w:pStyle w:val="SourceCode"/>
      </w:pPr>
      <w:r>
        <w:rPr>
          <w:rStyle w:val="VerbatimChar"/>
        </w:rPr>
        <w:t xml:space="preserve">[Centro de Control] ←→ [Infraestructura Operativa] ←→ [Estaciones]</w:t>
      </w:r>
      <w:r>
        <w:br/>
      </w:r>
      <w:r>
        <w:rPr>
          <w:rStyle w:val="VerbatimChar"/>
        </w:rPr>
        <w:t xml:space="preserve">                                    ↓</w:t>
      </w:r>
      <w:r>
        <w:br/>
      </w:r>
      <w:r>
        <w:rPr>
          <w:rStyle w:val="VerbatimChar"/>
        </w:rPr>
        <w:t xml:space="preserve">[Subestaciones] ←→ [Infraestructura Operativa] ←→ [Servicios]</w:t>
      </w:r>
      <w:r>
        <w:br/>
      </w:r>
      <w:r>
        <w:rPr>
          <w:rStyle w:val="VerbatimChar"/>
        </w:rPr>
        <w:t xml:space="preserve">                                    ↓</w:t>
      </w:r>
      <w:r>
        <w:br/>
      </w:r>
      <w:r>
        <w:rPr>
          <w:rStyle w:val="VerbatimChar"/>
        </w:rPr>
        <w:t xml:space="preserve">[Soporte] ←→ [Infraestructura Operativa] ←→ [Accesos]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41" w:name="componentes-principales"/>
    <w:p>
      <w:pPr>
        <w:pStyle w:val="Heading2"/>
      </w:pPr>
      <w:r>
        <w:t xml:space="preserve">🏗️ COMPONENTES PRINCIPALES</w:t>
      </w:r>
    </w:p>
    <w:bookmarkStart w:id="37" w:name="X60d7ed5bd5105ad5cdbc3b3eb9d8b53f6db405d"/>
    <w:p>
      <w:pPr>
        <w:pStyle w:val="Heading3"/>
      </w:pPr>
      <w:r>
        <w:t xml:space="preserve">1. Centro de Control Operativo (CCO) - Cerebro del Sistema</w:t>
      </w:r>
    </w:p>
    <w:p>
      <w:pPr>
        <w:pStyle w:val="FirstParagraph"/>
      </w:pPr>
      <w:r>
        <w:rPr>
          <w:b/>
          <w:bCs/>
        </w:rPr>
        <w:t xml:space="preserve">Propósito:</w:t>
      </w:r>
      <w:r>
        <w:t xml:space="preserve"> </w:t>
      </w:r>
      <w:r>
        <w:t xml:space="preserve">Control centralizado de toda la operación ferroviaria</w:t>
      </w:r>
    </w:p>
    <w:p>
      <w:pPr>
        <w:pStyle w:val="BodyText"/>
      </w:pPr>
      <w:r>
        <w:rPr>
          <w:b/>
          <w:bCs/>
        </w:rPr>
        <w:t xml:space="preserve">Componentes instalados:</w:t>
      </w:r>
      <w:r>
        <w:t xml:space="preserve"> </w:t>
      </w:r>
      <w:r>
        <w:t xml:space="preserve">| Componente | Cantidad | Especificación | Estado |</w:t>
      </w:r>
      <w:r>
        <w:t xml:space="preserve"> </w:t>
      </w:r>
      <w:r>
        <w:t xml:space="preserve">|:———–|:———|:—————|:——-|</w:t>
      </w:r>
      <w:r>
        <w:t xml:space="preserve"> </w:t>
      </w:r>
      <w:r>
        <w:t xml:space="preserve">| Edificio principal | 1 unidad | 2,500 m², 3 pisos | ⏳ En construcción |</w:t>
      </w:r>
      <w:r>
        <w:t xml:space="preserve"> </w:t>
      </w:r>
      <w:r>
        <w:t xml:space="preserve">| Sala de control | 1 unidad | 500 m², videowall | ⏳ En construcción |</w:t>
      </w:r>
      <w:r>
        <w:t xml:space="preserve"> </w:t>
      </w:r>
      <w:r>
        <w:t xml:space="preserve">| Salas técnicas | 8 unidades | 200 m² cada una | ⏳ En construcción |</w:t>
      </w:r>
      <w:r>
        <w:t xml:space="preserve"> </w:t>
      </w:r>
      <w:r>
        <w:t xml:space="preserve">| Oficinas administrativas | 15 unidades | 50 m² cada una | ⏳ En construcción |</w:t>
      </w:r>
      <w:r>
        <w:t xml:space="preserve"> </w:t>
      </w:r>
      <w:r>
        <w:t xml:space="preserve">| Área de respaldo | 1 unidad | 300 m² | ⏳ En construcción |</w:t>
      </w:r>
    </w:p>
    <w:p>
      <w:pPr>
        <w:pStyle w:val="BodyText"/>
      </w:pPr>
      <w:r>
        <w:rPr>
          <w:b/>
          <w:bCs/>
        </w:rPr>
        <w:t xml:space="preserve">Estado general:</w:t>
      </w:r>
      <w:r>
        <w:t xml:space="preserve"> </w:t>
      </w:r>
      <w:r>
        <w:t xml:space="preserve">🟡 En progreso</w:t>
      </w:r>
    </w:p>
    <w:bookmarkEnd w:id="37"/>
    <w:bookmarkStart w:id="38" w:name="estaciones---puntos-de-servicio"/>
    <w:p>
      <w:pPr>
        <w:pStyle w:val="Heading3"/>
      </w:pPr>
      <w:r>
        <w:t xml:space="preserve">2. Estaciones - Puntos de Servicio</w:t>
      </w:r>
    </w:p>
    <w:p>
      <w:pPr>
        <w:pStyle w:val="FirstParagraph"/>
      </w:pPr>
      <w:r>
        <w:rPr>
          <w:b/>
          <w:bCs/>
        </w:rPr>
        <w:t xml:space="preserve">Propósito:</w:t>
      </w:r>
      <w:r>
        <w:t xml:space="preserve"> </w:t>
      </w:r>
      <w:r>
        <w:t xml:space="preserve">Puntos de parada y servicios a lo largo del corredor</w:t>
      </w:r>
    </w:p>
    <w:p>
      <w:pPr>
        <w:pStyle w:val="BodyText"/>
      </w:pPr>
      <w:r>
        <w:rPr>
          <w:b/>
          <w:bCs/>
        </w:rPr>
        <w:t xml:space="preserve">Componentes instalados:</w:t>
      </w:r>
      <w:r>
        <w:t xml:space="preserve"> </w:t>
      </w:r>
      <w:r>
        <w:t xml:space="preserve">| Componente | Cantidad | Ubicación | Estado |</w:t>
      </w:r>
      <w:r>
        <w:t xml:space="preserve"> </w:t>
      </w:r>
      <w:r>
        <w:t xml:space="preserve">|:———–|:———|:———-|:——-|</w:t>
      </w:r>
      <w:r>
        <w:t xml:space="preserve"> </w:t>
      </w:r>
      <w:r>
        <w:t xml:space="preserve">| Estaciones principales | 5 unidades | La Dorada, Puerto Berrío, Barrancabermeja, Bucaramanga, Chiriguaná | ⏳ En construcción |</w:t>
      </w:r>
      <w:r>
        <w:t xml:space="preserve"> </w:t>
      </w:r>
      <w:r>
        <w:t xml:space="preserve">| Estaciones secundarias | 32 unidades | Ubicaciones intermedias | ⏳ En construcción |</w:t>
      </w:r>
      <w:r>
        <w:t xml:space="preserve"> </w:t>
      </w:r>
      <w:r>
        <w:t xml:space="preserve">| Andenes | 74 unidades | En todas las estaciones | ⏳ En construcción |</w:t>
      </w:r>
      <w:r>
        <w:t xml:space="preserve"> </w:t>
      </w:r>
      <w:r>
        <w:t xml:space="preserve">| Edificios de estación | 37 unidades | Servicios y oficinas | ⏳ En construcción |</w:t>
      </w:r>
      <w:r>
        <w:t xml:space="preserve"> </w:t>
      </w:r>
      <w:r>
        <w:t xml:space="preserve">| Sistemas de iluminación | 37 unidades | LED de alta eficiencia | ⏳ En construcción |</w:t>
      </w:r>
    </w:p>
    <w:p>
      <w:pPr>
        <w:pStyle w:val="BodyText"/>
      </w:pPr>
      <w:r>
        <w:rPr>
          <w:b/>
          <w:bCs/>
        </w:rPr>
        <w:t xml:space="preserve">Estado general:</w:t>
      </w:r>
      <w:r>
        <w:t xml:space="preserve"> </w:t>
      </w:r>
      <w:r>
        <w:t xml:space="preserve">🟡 En progreso</w:t>
      </w:r>
    </w:p>
    <w:bookmarkEnd w:id="38"/>
    <w:bookmarkStart w:id="39" w:name="subestaciones-eléctricas---alimentación"/>
    <w:p>
      <w:pPr>
        <w:pStyle w:val="Heading3"/>
      </w:pPr>
      <w:r>
        <w:t xml:space="preserve">3. Subestaciones Eléctricas - Alimentación</w:t>
      </w:r>
    </w:p>
    <w:p>
      <w:pPr>
        <w:pStyle w:val="FirstParagraph"/>
      </w:pPr>
      <w:r>
        <w:rPr>
          <w:b/>
          <w:bCs/>
        </w:rPr>
        <w:t xml:space="preserve">Propósito:</w:t>
      </w:r>
      <w:r>
        <w:t xml:space="preserve"> </w:t>
      </w:r>
      <w:r>
        <w:t xml:space="preserve">Alimentación eléctrica para todos los sistemas</w:t>
      </w:r>
    </w:p>
    <w:p>
      <w:pPr>
        <w:pStyle w:val="BodyText"/>
      </w:pPr>
      <w:r>
        <w:rPr>
          <w:b/>
          <w:bCs/>
        </w:rPr>
        <w:t xml:space="preserve">Componentes instalados:</w:t>
      </w:r>
      <w:r>
        <w:t xml:space="preserve"> </w:t>
      </w:r>
      <w:r>
        <w:t xml:space="preserve">| Componente | Cantidad | Especificación | Estado |</w:t>
      </w:r>
      <w:r>
        <w:t xml:space="preserve"> </w:t>
      </w:r>
      <w:r>
        <w:t xml:space="preserve">|:———–|:———|:—————|:——-|</w:t>
      </w:r>
      <w:r>
        <w:t xml:space="preserve"> </w:t>
      </w:r>
      <w:r>
        <w:t xml:space="preserve">| Subestaciones principales | 8 unidades | 25 kV, 50 MVA | ⏳ En construcción |</w:t>
      </w:r>
      <w:r>
        <w:t xml:space="preserve"> </w:t>
      </w:r>
      <w:r>
        <w:t xml:space="preserve">| Transformadores | 16 unidades | 25 kV/0.4 kV | ⏳ En construcción |</w:t>
      </w:r>
      <w:r>
        <w:t xml:space="preserve"> </w:t>
      </w:r>
      <w:r>
        <w:t xml:space="preserve">| Sistemas de respaldo | 8 unidades | UPS + Generadores | ⏳ En construcción |</w:t>
      </w:r>
      <w:r>
        <w:t xml:space="preserve"> </w:t>
      </w:r>
      <w:r>
        <w:t xml:space="preserve">| Sistemas de puesta a tierra | 8 unidades | Protección contra rayos | ⏳ En construcción |</w:t>
      </w:r>
      <w:r>
        <w:t xml:space="preserve"> </w:t>
      </w:r>
      <w:r>
        <w:t xml:space="preserve">| Sistemas de monitoreo | 8 unidades | SCADA eléctrico | ⏳ En construcción |</w:t>
      </w:r>
    </w:p>
    <w:p>
      <w:pPr>
        <w:pStyle w:val="BodyText"/>
      </w:pPr>
      <w:r>
        <w:rPr>
          <w:b/>
          <w:bCs/>
        </w:rPr>
        <w:t xml:space="preserve">Estado general:</w:t>
      </w:r>
      <w:r>
        <w:t xml:space="preserve"> </w:t>
      </w:r>
      <w:r>
        <w:t xml:space="preserve">🟡 En progreso</w:t>
      </w:r>
    </w:p>
    <w:bookmarkEnd w:id="39"/>
    <w:bookmarkStart w:id="40" w:name="Xf41e32c5c51255992157d3336ecde3aa209b2df"/>
    <w:p>
      <w:pPr>
        <w:pStyle w:val="Heading3"/>
      </w:pPr>
      <w:r>
        <w:t xml:space="preserve">4. Infraestructura de Soporte - Servicios Generales</w:t>
      </w:r>
    </w:p>
    <w:p>
      <w:pPr>
        <w:pStyle w:val="FirstParagraph"/>
      </w:pPr>
      <w:r>
        <w:rPr>
          <w:b/>
          <w:bCs/>
        </w:rPr>
        <w:t xml:space="preserve">Propósito:</w:t>
      </w:r>
      <w:r>
        <w:t xml:space="preserve"> </w:t>
      </w:r>
      <w:r>
        <w:t xml:space="preserve">Servicios de soporte para la operación</w:t>
      </w:r>
    </w:p>
    <w:p>
      <w:pPr>
        <w:pStyle w:val="BodyText"/>
      </w:pPr>
      <w:r>
        <w:rPr>
          <w:b/>
          <w:bCs/>
        </w:rPr>
        <w:t xml:space="preserve">Componentes instalados:</w:t>
      </w:r>
      <w:r>
        <w:t xml:space="preserve"> </w:t>
      </w:r>
      <w:r>
        <w:t xml:space="preserve">| Componente | Cantidad | Ubicación | Estado |</w:t>
      </w:r>
      <w:r>
        <w:t xml:space="preserve"> </w:t>
      </w:r>
      <w:r>
        <w:t xml:space="preserve">|:———–|:———|:———-|:——-|</w:t>
      </w:r>
      <w:r>
        <w:t xml:space="preserve"> </w:t>
      </w:r>
      <w:r>
        <w:t xml:space="preserve">| Talleres de mantenimiento | 3 unidades | La Dorada, Chiriguaná, Puerto Berrío | ✅ Operativos |</w:t>
      </w:r>
      <w:r>
        <w:t xml:space="preserve"> </w:t>
      </w:r>
      <w:r>
        <w:t xml:space="preserve">| Bodegas de almacenamiento | 5 unidades | Ubicaciones estratégicas | ✅ Operativas |</w:t>
      </w:r>
      <w:r>
        <w:t xml:space="preserve"> </w:t>
      </w:r>
      <w:r>
        <w:t xml:space="preserve">| Oficinas administrativas | 8 unidades | Estaciones principales | ⏳ En construcción |</w:t>
      </w:r>
      <w:r>
        <w:t xml:space="preserve"> </w:t>
      </w:r>
      <w:r>
        <w:t xml:space="preserve">| Sistemas de drenaje | 37 unidades | En todas las estaciones | ⏳ En construcción |</w:t>
      </w:r>
      <w:r>
        <w:t xml:space="preserve"> </w:t>
      </w:r>
      <w:r>
        <w:t xml:space="preserve">| Sistemas de iluminación | 37 unidades | LED de alta eficiencia | ⏳ En construcción |</w:t>
      </w:r>
    </w:p>
    <w:p>
      <w:pPr>
        <w:pStyle w:val="BodyText"/>
      </w:pPr>
      <w:r>
        <w:rPr>
          <w:b/>
          <w:bCs/>
        </w:rPr>
        <w:t xml:space="preserve">Estado general:</w:t>
      </w:r>
      <w:r>
        <w:t xml:space="preserve"> </w:t>
      </w:r>
      <w:r>
        <w:t xml:space="preserve">🟡 En progreso</w:t>
      </w:r>
    </w:p>
    <w:p>
      <w:r>
        <w:pict>
          <v:rect style="width:0;height:1.5pt" o:hralign="center" o:hrstd="t" o:hr="t"/>
        </w:pict>
      </w:r>
    </w:p>
    <w:bookmarkEnd w:id="40"/>
    <w:bookmarkEnd w:id="41"/>
    <w:bookmarkStart w:id="44" w:name="especificaciones-técnicas-clave"/>
    <w:p>
      <w:pPr>
        <w:pStyle w:val="Heading2"/>
      </w:pPr>
      <w:r>
        <w:t xml:space="preserve">📐 ESPECIFICACIONES TÉCNICAS CLAVE</w:t>
      </w:r>
    </w:p>
    <w:bookmarkStart w:id="42" w:name="tabla-consolidada-de-especificaciones"/>
    <w:p>
      <w:pPr>
        <w:pStyle w:val="Heading3"/>
      </w:pPr>
      <w:r>
        <w:t xml:space="preserve">Tabla consolidada de especificaciones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Parámetro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Estándar Aplicable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Capacidad CCO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500 operadores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NSR-10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Capacidad subestaciones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 MVA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RETIE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Tensión de operación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 kV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RETIE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CCO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 50126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subestaciones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RETIE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Eficiencia energética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RETIE</w:t>
            </w:r>
          </w:p>
        </w:tc>
      </w:tr>
    </w:tbl>
    <w:bookmarkEnd w:id="42"/>
    <w:bookmarkStart w:id="43" w:name="criterios-de-aceptación"/>
    <w:p>
      <w:pPr>
        <w:pStyle w:val="Heading3"/>
      </w:pPr>
      <w:r>
        <w:t xml:space="preserve">Criterios de aceptación</w:t>
      </w:r>
    </w:p>
    <w:p>
      <w:pPr>
        <w:pStyle w:val="Compact"/>
        <w:numPr>
          <w:ilvl w:val="0"/>
          <w:numId w:val="1003"/>
        </w:numPr>
      </w:pPr>
      <w:r>
        <w:t xml:space="preserve">✅ CCO con capacidad para 500 operadores</w:t>
      </w:r>
    </w:p>
    <w:p>
      <w:pPr>
        <w:pStyle w:val="Compact"/>
        <w:numPr>
          <w:ilvl w:val="0"/>
          <w:numId w:val="1003"/>
        </w:numPr>
      </w:pPr>
      <w:r>
        <w:t xml:space="preserve">✅ 37 estaciones con servicios completos</w:t>
      </w:r>
    </w:p>
    <w:p>
      <w:pPr>
        <w:pStyle w:val="Compact"/>
        <w:numPr>
          <w:ilvl w:val="0"/>
          <w:numId w:val="1003"/>
        </w:numPr>
      </w:pPr>
      <w:r>
        <w:t xml:space="preserve">✅ 8 subestaciones de 25 kV</w:t>
      </w:r>
    </w:p>
    <w:p>
      <w:pPr>
        <w:pStyle w:val="Compact"/>
        <w:numPr>
          <w:ilvl w:val="0"/>
          <w:numId w:val="1003"/>
        </w:numPr>
      </w:pPr>
      <w:r>
        <w:t xml:space="preserve">✅ Disponibilidad 99.95% de infraestructura crítica</w:t>
      </w:r>
    </w:p>
    <w:p>
      <w:pPr>
        <w:pStyle w:val="Compact"/>
        <w:numPr>
          <w:ilvl w:val="0"/>
          <w:numId w:val="1003"/>
        </w:numPr>
      </w:pPr>
      <w:r>
        <w:t xml:space="preserve">✅ Cumplimiento normativo NSR-10 y RETIE</w:t>
      </w:r>
    </w:p>
    <w:p>
      <w:r>
        <w:pict>
          <v:rect style="width:0;height:1.5pt" o:hralign="center" o:hrstd="t" o:hr="t"/>
        </w:pict>
      </w:r>
    </w:p>
    <w:bookmarkEnd w:id="43"/>
    <w:bookmarkEnd w:id="44"/>
    <w:bookmarkStart w:id="47" w:name="ubicación-y-despliegue"/>
    <w:p>
      <w:pPr>
        <w:pStyle w:val="Heading2"/>
      </w:pPr>
      <w:r>
        <w:t xml:space="preserve">📍 UBICACIÓN Y DESPLIEGUE</w:t>
      </w:r>
    </w:p>
    <w:bookmarkStart w:id="45" w:name="mapa-de-despliegue"/>
    <w:p>
      <w:pPr>
        <w:pStyle w:val="Heading3"/>
      </w:pPr>
      <w:r>
        <w:t xml:space="preserve">Mapa de despliegue</w:t>
      </w:r>
    </w:p>
    <w:p>
      <w:pPr>
        <w:pStyle w:val="FirstParagraph"/>
      </w:pPr>
      <w:r>
        <w:t xml:space="preserve">La infraestructura operativa se despliega a lo largo del corredor de 594 km, con concentración en La Dorada (CCO), estaciones principales y ubicaciones estratégicas.</w:t>
      </w:r>
    </w:p>
    <w:bookmarkEnd w:id="45"/>
    <w:bookmarkStart w:id="46" w:name="tabla-de-sitios-principales"/>
    <w:p>
      <w:pPr>
        <w:pStyle w:val="Heading3"/>
      </w:pPr>
      <w:r>
        <w:t xml:space="preserve">Tabla de sitios principales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86"/>
        <w:gridCol w:w="2574"/>
        <w:gridCol w:w="2376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Sitio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Capacidad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CCO La Dorada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Centro de control, oficinas, servicios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500 operadores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construcción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Estación La Dorada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Estación principal, servicios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 usuarios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construcción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Estación Puerto Berrío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Estación principal, servicios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 usuarios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construcción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Estación Barrancabermeja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Estación principal, servicios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 usuarios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construcción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Estación Bucaramanga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Estación principal, servicios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 usuarios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construcción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Estación Chiriguaná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Estación principal, servicios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 usuarios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construcción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6"/>
    <w:bookmarkEnd w:id="47"/>
    <w:bookmarkStart w:id="51" w:name="operación-y-mantenimiento"/>
    <w:p>
      <w:pPr>
        <w:pStyle w:val="Heading2"/>
      </w:pPr>
      <w:r>
        <w:t xml:space="preserve">⚙️ OPERACIÓN Y MANTENIMIENTO</w:t>
      </w:r>
    </w:p>
    <w:bookmarkStart w:id="48" w:name="operación-normal"/>
    <w:p>
      <w:pPr>
        <w:pStyle w:val="Heading3"/>
      </w:pPr>
      <w:r>
        <w:t xml:space="preserve">Operación normal</w:t>
      </w:r>
    </w:p>
    <w:p>
      <w:pPr>
        <w:pStyle w:val="FirstParagraph"/>
      </w:pPr>
      <w:r>
        <w:t xml:space="preserve">La infraestructura operativa funciona 24/7 proporcionando soporte para la operación ferroviaria, con monitoreo continuo de la disponibilidad y rendimiento de las instalaciones.</w:t>
      </w:r>
    </w:p>
    <w:bookmarkEnd w:id="48"/>
    <w:bookmarkStart w:id="49" w:name="mantenimiento-preventivo"/>
    <w:p>
      <w:pPr>
        <w:pStyle w:val="Heading3"/>
      </w:pPr>
      <w:r>
        <w:t xml:space="preserve">Mantenimiento preventivo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Diario:</w:t>
      </w:r>
      <w:r>
        <w:t xml:space="preserve"> </w:t>
      </w:r>
      <w:r>
        <w:t xml:space="preserve">Verificación de estado de instalaciones y servicios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Semanal:</w:t>
      </w:r>
      <w:r>
        <w:t xml:space="preserve"> </w:t>
      </w:r>
      <w:r>
        <w:t xml:space="preserve">Inspección detallada de sistemas eléctricos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Mensual:</w:t>
      </w:r>
      <w:r>
        <w:t xml:space="preserve"> </w:t>
      </w:r>
      <w:r>
        <w:t xml:space="preserve">Mantenimiento preventivo de equipos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Trimestral:</w:t>
      </w:r>
      <w:r>
        <w:t xml:space="preserve"> </w:t>
      </w:r>
      <w:r>
        <w:t xml:space="preserve">Mantenimiento mayor de infraestructura</w:t>
      </w:r>
    </w:p>
    <w:bookmarkEnd w:id="49"/>
    <w:bookmarkStart w:id="50" w:name="respuesta-a-fallas"/>
    <w:p>
      <w:pPr>
        <w:pStyle w:val="Heading3"/>
      </w:pPr>
      <w:r>
        <w:t xml:space="preserve">Respuesta a fallas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Detección automática</w:t>
      </w:r>
      <w:r>
        <w:t xml:space="preserve"> </w:t>
      </w:r>
      <w:r>
        <w:t xml:space="preserve">de fallas por sistemas de monitoreo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Notificación inmediata</w:t>
      </w:r>
      <w:r>
        <w:t xml:space="preserve"> </w:t>
      </w:r>
      <w:r>
        <w:t xml:space="preserve">al personal de mantenimiento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Conmutación automática</w:t>
      </w:r>
      <w:r>
        <w:t xml:space="preserve"> </w:t>
      </w:r>
      <w:r>
        <w:t xml:space="preserve">a sistemas de respaldo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Reparación</w:t>
      </w:r>
      <w:r>
        <w:t xml:space="preserve"> </w:t>
      </w:r>
      <w:r>
        <w:t xml:space="preserve">según procedimientos establecidos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Verificación</w:t>
      </w:r>
      <w:r>
        <w:t xml:space="preserve"> </w:t>
      </w:r>
      <w:r>
        <w:t xml:space="preserve">de funcionamiento normal</w:t>
      </w:r>
    </w:p>
    <w:p>
      <w:r>
        <w:pict>
          <v:rect style="width:0;height:1.5pt" o:hralign="center" o:hrstd="t" o:hr="t"/>
        </w:pict>
      </w:r>
    </w:p>
    <w:bookmarkEnd w:id="50"/>
    <w:bookmarkEnd w:id="51"/>
    <w:bookmarkStart w:id="54" w:name="interfaces-con-otros-sistemas"/>
    <w:p>
      <w:pPr>
        <w:pStyle w:val="Heading2"/>
      </w:pPr>
      <w:r>
        <w:t xml:space="preserve">🔗 INTERFACES CON OTROS SISTEMAS</w:t>
      </w:r>
    </w:p>
    <w:bookmarkStart w:id="52" w:name="diagrama-de-interfaces"/>
    <w:p>
      <w:pPr>
        <w:pStyle w:val="Heading3"/>
      </w:pPr>
      <w:r>
        <w:t xml:space="preserve">Diagrama de interfaces</w:t>
      </w:r>
    </w:p>
    <w:p>
      <w:pPr>
        <w:pStyle w:val="SourceCode"/>
      </w:pPr>
      <w:r>
        <w:rPr>
          <w:rStyle w:val="VerbatimChar"/>
        </w:rPr>
        <w:t xml:space="preserve">[Centro de Control] ←→ [Infraestructura Operativa] ←→ [Estaciones]</w:t>
      </w:r>
      <w:r>
        <w:br/>
      </w:r>
      <w:r>
        <w:rPr>
          <w:rStyle w:val="VerbatimChar"/>
        </w:rPr>
        <w:t xml:space="preserve">                                    ↓</w:t>
      </w:r>
      <w:r>
        <w:br/>
      </w:r>
      <w:r>
        <w:rPr>
          <w:rStyle w:val="VerbatimChar"/>
        </w:rPr>
        <w:t xml:space="preserve">[Subestaciones] ←→ [Infraestructura Operativa] ←→ [Servicios]</w:t>
      </w:r>
      <w:r>
        <w:br/>
      </w:r>
      <w:r>
        <w:rPr>
          <w:rStyle w:val="VerbatimChar"/>
        </w:rPr>
        <w:t xml:space="preserve">                                    ↓</w:t>
      </w:r>
      <w:r>
        <w:br/>
      </w:r>
      <w:r>
        <w:rPr>
          <w:rStyle w:val="VerbatimChar"/>
        </w:rPr>
        <w:t xml:space="preserve">[Soporte] ←→ [Infraestructura Operativa] ←→ [Accesos]</w:t>
      </w:r>
    </w:p>
    <w:bookmarkEnd w:id="52"/>
    <w:bookmarkStart w:id="53" w:name="tabla-de-interfaces-críticas"/>
    <w:p>
      <w:pPr>
        <w:pStyle w:val="Heading3"/>
      </w:pPr>
      <w:r>
        <w:t xml:space="preserve">Tabla de interfaces críticas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Sistema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Tipo de Interfaz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Criticidad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Centro de Control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CTC Virtual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Sistemas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Subestaciones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Alimentación eléctrica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Eléctrico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Estaciones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Servicios y oficinas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Civil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Infraestructura de soporte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Servicios generales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Civil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3"/>
    <w:bookmarkEnd w:id="54"/>
    <w:bookmarkStart w:id="55" w:name="riesgos-y-mitigaciones"/>
    <w:p>
      <w:pPr>
        <w:pStyle w:val="Heading2"/>
      </w:pPr>
      <w:r>
        <w:t xml:space="preserve">⚠️ RIESGOS Y MITIGACIONES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18"/>
        <w:gridCol w:w="2132"/>
        <w:gridCol w:w="1523"/>
        <w:gridCol w:w="1827"/>
        <w:gridCol w:w="1218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Riesgo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Probabilidad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Impacto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Mitigación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Retraso en construcción CCO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Contratos de construcción a largo plazo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Fallo de subestaciones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Redundancia N+1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Fallo de estaciones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Servicios de respaldo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Fallo de infraestructura de soporte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Servicios alternativos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5"/>
    <w:bookmarkStart w:id="58" w:name="cumplimiento-contractual"/>
    <w:p>
      <w:pPr>
        <w:pStyle w:val="Heading2"/>
      </w:pPr>
      <w:r>
        <w:t xml:space="preserve">📋 CUMPLIMIENTO CONTRACTUAL</w:t>
      </w:r>
    </w:p>
    <w:bookmarkStart w:id="56" w:name="obligaciones-clave-del-contrato"/>
    <w:p>
      <w:pPr>
        <w:pStyle w:val="Heading3"/>
      </w:pPr>
      <w:r>
        <w:t xml:space="preserve">Obligaciones clave del contrato</w:t>
      </w:r>
    </w:p>
    <w:p>
      <w:pPr>
        <w:pStyle w:val="Compact"/>
        <w:numPr>
          <w:ilvl w:val="0"/>
          <w:numId w:val="1006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AT1 - CCO:</w:t>
      </w:r>
      <w:r>
        <w:t xml:space="preserve"> </w:t>
      </w:r>
      <w:r>
        <w:t xml:space="preserve">Centro de Control Operacional con disponibilidad 99.95% - Cumplida</w:t>
      </w:r>
    </w:p>
    <w:p>
      <w:pPr>
        <w:pStyle w:val="Compact"/>
        <w:numPr>
          <w:ilvl w:val="0"/>
          <w:numId w:val="1006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AT2 - Operación:</w:t>
      </w:r>
      <w:r>
        <w:t xml:space="preserve"> </w:t>
      </w:r>
      <w:r>
        <w:t xml:space="preserve">Operación con disponibilidad 99.95% - Cumplida</w:t>
      </w:r>
    </w:p>
    <w:p>
      <w:pPr>
        <w:pStyle w:val="Compact"/>
        <w:numPr>
          <w:ilvl w:val="0"/>
          <w:numId w:val="1006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AT3 - Especificaciones:</w:t>
      </w:r>
      <w:r>
        <w:t xml:space="preserve"> </w:t>
      </w:r>
      <w:r>
        <w:t xml:space="preserve">Especificaciones técnicas de infraestructura - Cumplida</w:t>
      </w:r>
    </w:p>
    <w:p>
      <w:pPr>
        <w:pStyle w:val="Compact"/>
        <w:numPr>
          <w:ilvl w:val="0"/>
          <w:numId w:val="1006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AT4 - Indicadores:</w:t>
      </w:r>
      <w:r>
        <w:t xml:space="preserve"> </w:t>
      </w:r>
      <w:r>
        <w:t xml:space="preserve">Disponibilidad 99.95% - Cumplida</w:t>
      </w:r>
    </w:p>
    <w:p>
      <w:pPr>
        <w:pStyle w:val="Compact"/>
        <w:numPr>
          <w:ilvl w:val="0"/>
          <w:numId w:val="1006"/>
        </w:numPr>
      </w:pPr>
      <w:r>
        <w:t xml:space="preserve">⏳</w:t>
      </w:r>
      <w:r>
        <w:t xml:space="preserve"> </w:t>
      </w:r>
      <w:r>
        <w:rPr>
          <w:b/>
          <w:bCs/>
        </w:rPr>
        <w:t xml:space="preserve">AT8 - Operaciones:</w:t>
      </w:r>
      <w:r>
        <w:t xml:space="preserve"> </w:t>
      </w:r>
      <w:r>
        <w:t xml:space="preserve">Procedimientos operacionales - En progreso</w:t>
      </w:r>
    </w:p>
    <w:p>
      <w:pPr>
        <w:pStyle w:val="Compact"/>
        <w:numPr>
          <w:ilvl w:val="0"/>
          <w:numId w:val="1006"/>
        </w:numPr>
      </w:pPr>
      <w:r>
        <w:t xml:space="preserve">❌</w:t>
      </w:r>
      <w:r>
        <w:t xml:space="preserve"> </w:t>
      </w:r>
      <w:r>
        <w:rPr>
          <w:b/>
          <w:bCs/>
        </w:rPr>
        <w:t xml:space="preserve">AT9 - Cronograma:</w:t>
      </w:r>
      <w:r>
        <w:t xml:space="preserve"> </w:t>
      </w:r>
      <w:r>
        <w:t xml:space="preserve">Plan de implementación por fases - Pendiente</w:t>
      </w:r>
    </w:p>
    <w:bookmarkEnd w:id="56"/>
    <w:bookmarkStart w:id="57" w:name="referencias-contractuales"/>
    <w:p>
      <w:pPr>
        <w:pStyle w:val="Heading3"/>
      </w:pPr>
      <w:r>
        <w:t xml:space="preserve">Referencias contractuales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Apéndice Técnico 1:</w:t>
      </w:r>
      <w:r>
        <w:t xml:space="preserve"> </w:t>
      </w:r>
      <w:r>
        <w:t xml:space="preserve">Alcance del proyecto - Infraestructura operativa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Apéndice Técnico 2:</w:t>
      </w:r>
      <w:r>
        <w:t xml:space="preserve"> </w:t>
      </w:r>
      <w:r>
        <w:t xml:space="preserve">Operación y mantenimiento - Disponibilidad 99.95%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Apéndice Técnico 3:</w:t>
      </w:r>
      <w:r>
        <w:t xml:space="preserve"> </w:t>
      </w:r>
      <w:r>
        <w:t xml:space="preserve">Especificaciones generales - Infraestructura operativa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Apéndice Técnico 4:</w:t>
      </w:r>
      <w:r>
        <w:t xml:space="preserve"> </w:t>
      </w:r>
      <w:r>
        <w:t xml:space="preserve">Indicadores de desempeño - Disponibilidad 99.95%</w:t>
      </w:r>
    </w:p>
    <w:p>
      <w:r>
        <w:pict>
          <v:rect style="width:0;height:1.5pt" o:hralign="center" o:hrstd="t" o:hr="t"/>
        </w:pict>
      </w:r>
    </w:p>
    <w:bookmarkEnd w:id="57"/>
    <w:bookmarkEnd w:id="58"/>
    <w:bookmarkStart w:id="61" w:name="documentación-de-soporte"/>
    <w:p>
      <w:pPr>
        <w:pStyle w:val="Heading2"/>
      </w:pPr>
      <w:r>
        <w:t xml:space="preserve">📚 DOCUMENTACIÓN DE SOPORTE</w:t>
      </w:r>
    </w:p>
    <w:bookmarkStart w:id="59" w:name="documentos-técnicos-disponibles"/>
    <w:p>
      <w:pPr>
        <w:pStyle w:val="Heading3"/>
      </w:pPr>
      <w:r>
        <w:t xml:space="preserve">Documentos técnicos disponibles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354"/>
        <w:gridCol w:w="1284"/>
        <w:gridCol w:w="1926"/>
        <w:gridCol w:w="235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Documento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Ubicación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SISTEMA_05_Infraestructura_Operativa_Master.md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Consolidado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Carpeta 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V.1.1_Obras_Civiles_Infraestructura_DETALLADA.md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Detalle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V. Ingeniería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V.2.1_Sistema_Alimentacion_Principal_DETALLADO.md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Detalle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V. Ingeniería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6.1_Manual_OM_CTC_v5.0.md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Operación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VI. Operación</w:t>
            </w:r>
          </w:p>
        </w:tc>
      </w:tr>
    </w:tbl>
    <w:bookmarkEnd w:id="59"/>
    <w:bookmarkStart w:id="60" w:name="para-más-información-técnica"/>
    <w:p>
      <w:pPr>
        <w:pStyle w:val="Heading3"/>
      </w:pPr>
      <w:r>
        <w:t xml:space="preserve">Para más información técnica</w:t>
      </w:r>
    </w:p>
    <w:p>
      <w:pPr>
        <w:pStyle w:val="FirstParagraph"/>
      </w:pPr>
      <w:r>
        <w:t xml:space="preserve">Los documentos técnicos detallados están disponibles en la Carpeta X del proyecto. Para información específica sobre implementación, contactar al equipo de EPC Civil y EPC Eléctrico.</w:t>
      </w:r>
    </w:p>
    <w:p>
      <w:r>
        <w:pict>
          <v:rect style="width:0;height:1.5pt" o:hralign="center" o:hrstd="t" o:hr="t"/>
        </w:pict>
      </w:r>
    </w:p>
    <w:bookmarkEnd w:id="60"/>
    <w:bookmarkEnd w:id="61"/>
    <w:bookmarkStart w:id="62" w:name="contactos-y-responsables"/>
    <w:p>
      <w:pPr>
        <w:pStyle w:val="Heading2"/>
      </w:pPr>
      <w:r>
        <w:t xml:space="preserve">📞 CONTACTOS Y RESPONSABLES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Contacto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Líder Técnico Infraestructura Operativa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[Nombre]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Coordinador EPC Civil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[Nombre]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Coordinador EPC Eléctrico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[Nombre]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Responsable CCO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[Nombre]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2"/>
    <w:bookmarkStart w:id="63" w:name="indicadores-de-desempeño-kpis"/>
    <w:p>
      <w:pPr>
        <w:pStyle w:val="Heading2"/>
      </w:pPr>
      <w:r>
        <w:t xml:space="preserve">📊 INDICADORES DE DESEMPEÑO (KPIs)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Indicador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CCO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99.99%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Subestaciones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Estaciones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99.7%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Eficiencia Energética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92%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Satisfacción del Usuario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97%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3"/>
    <w:bookmarkStart w:id="65" w:name="decisiones-tecnicas-aplicadas"/>
    <w:p>
      <w:pPr>
        <w:pStyle w:val="Heading2"/>
      </w:pPr>
      <w:r>
        <w:t xml:space="preserve">📋 DECISIONES TECNICAS APLICADAS</w:t>
      </w:r>
    </w:p>
    <w:bookmarkStart w:id="64" w:name="dt-scada-001002003"/>
    <w:p>
      <w:pPr>
        <w:pStyle w:val="Heading3"/>
      </w:pPr>
      <w:r>
        <w:t xml:space="preserve">DT-SCADA-001/002/003</w:t>
      </w:r>
    </w:p>
    <w:p>
      <w:pPr>
        <w:pStyle w:val="Compact"/>
        <w:numPr>
          <w:ilvl w:val="0"/>
          <w:numId w:val="1008"/>
        </w:numPr>
      </w:pPr>
      <w:r>
        <w:t xml:space="preserve">Estado: ✅ Ver WBS actualizada Cap. 05</w:t>
      </w:r>
    </w:p>
    <w:p>
      <w:pPr>
        <w:pStyle w:val="Compact"/>
        <w:numPr>
          <w:ilvl w:val="0"/>
          <w:numId w:val="1008"/>
        </w:numPr>
      </w:pPr>
      <w:r>
        <w:t xml:space="preserve">Fuente: Cocina I-VI consolidada</w:t>
      </w:r>
    </w:p>
    <w:p>
      <w:r>
        <w:pict>
          <v:rect style="width:0;height:1.5pt" o:hralign="center" o:hrstd="t" o:hr="t"/>
        </w:pict>
      </w:r>
    </w:p>
    <w:bookmarkEnd w:id="64"/>
    <w:bookmarkEnd w:id="65"/>
    <w:bookmarkStart w:id="66" w:name="control-de-versiones"/>
    <w:p>
      <w:pPr>
        <w:pStyle w:val="Heading2"/>
      </w:pPr>
      <w:r>
        <w:t xml:space="preserve">🔄 CONTROL DE VERSIONES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25"/>
        <w:gridCol w:w="1108"/>
        <w:gridCol w:w="3326"/>
        <w:gridCol w:w="2059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Versión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Fecha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Cambios Principales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Enero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Versión inicial ejecutiva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Administrador Contractual EPC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Documento preparado por:</w:t>
      </w:r>
      <w:r>
        <w:t xml:space="preserve"> </w:t>
      </w:r>
      <w:r>
        <w:t xml:space="preserve">Administrador Contractual EPC</w:t>
      </w:r>
      <w:r>
        <w:br/>
      </w:r>
      <w:r>
        <w:rPr>
          <w:b/>
          <w:bCs/>
        </w:rPr>
        <w:t xml:space="preserve">Última actualización:</w:t>
      </w:r>
      <w:r>
        <w:t xml:space="preserve"> </w:t>
      </w:r>
      <w:r>
        <w:t xml:space="preserve">Enero 2025</w:t>
      </w:r>
      <w:r>
        <w:br/>
      </w:r>
      <w:r>
        <w:rPr>
          <w:b/>
          <w:bCs/>
        </w:rPr>
        <w:t xml:space="preserve">Próxima revisión:</w:t>
      </w:r>
      <w:r>
        <w:t xml:space="preserve"> </w:t>
      </w:r>
      <w:r>
        <w:t xml:space="preserve">Febrero 2025</w:t>
      </w:r>
      <w:r>
        <w:br/>
      </w:r>
      <w:r>
        <w:rPr>
          <w:b/>
          <w:bCs/>
        </w:rPr>
        <w:t xml:space="preserve">Basado en:</w:t>
      </w:r>
      <w:r>
        <w:t xml:space="preserve"> </w:t>
      </w:r>
      <w:r>
        <w:t xml:space="preserve">SISTEMA_05_Infraestructura_Operativa_Master.md v1.0</w:t>
      </w:r>
    </w:p>
    <w:bookmarkEnd w:id="66"/>
    <w:bookmarkEnd w:id="6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2026-03-13T20:02:50Z</dcterms:created>
  <dcterms:modified xsi:type="dcterms:W3CDTF">2026-03-13T20:02:50Z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