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ITCS ETCS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CTC-ITCS-FENOCO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ETCS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b28b9411d1804d666769313d48cbd120b86b4a7"/>
    <w:p>
      <w:pPr>
        <w:pStyle w:val="Heading3"/>
      </w:pPr>
      <w:r>
        <w:t xml:space="preserve">¿Por qué ETCS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ETCS: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Balizas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GSM-R + ATP embarcado | Óptimo costo/beneficio | Requiere GSM-R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(CTC↔ITCS↔FENOCO)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ITCS/ETCS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ETCS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GSM-R/TETRA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GSM-R: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ITCS ETCS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ITCS ETCS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CTC-ITCS-FENOCO)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2026-03-13T13:56:39Z</dcterms:created>
  <dcterms:modified xsi:type="dcterms:W3CDTF">2026-03-13T13:56:39Z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