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TETRA/GSM-R:</w:t>
      </w:r>
      <w:r>
        <w:t xml:space="preserve"> </w:t>
      </w:r>
      <w:r>
        <w:t xml:space="preserve">Justificado por radio de cobertura de 15 km por estación con 20% solapamiento sobre corredor de 594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594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GSM-R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37-estaciones-tetragsm-r"/>
    <w:p>
      <w:pPr>
        <w:pStyle w:val="Heading3"/>
      </w:pPr>
      <w:r>
        <w:t xml:space="preserve">¿Por qué 37 estaciones TETRA/GSM-R?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TETRA/GSM-R)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GSM-R en la misma torre</w:t>
      </w:r>
    </w:p>
    <w:bookmarkEnd w:id="25"/>
    <w:bookmarkStart w:id="26" w:name="por-qué-594-km-de-fibra-óptica"/>
    <w:p>
      <w:pPr>
        <w:pStyle w:val="Heading3"/>
      </w:pPr>
      <w:r>
        <w:t xml:space="preserve">¿Por qué 594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594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por-qué-tetra-gsm-r-no-solo-uno"/>
    <w:p>
      <w:pPr>
        <w:pStyle w:val="Heading3"/>
      </w:pPr>
      <w:r>
        <w:t xml:space="preserve">¿Por qué TETRA + GSM-R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GSM-R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GSM-R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GSM-R:</w:t>
      </w:r>
      <w:r>
        <w:t xml:space="preserve"> </w:t>
      </w:r>
      <w:r>
        <w:t xml:space="preserve">Especializado en datos críticos (ATP,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istema-gsm-r---red-de-datos-críticos"/>
    <w:p>
      <w:pPr>
        <w:pStyle w:val="Heading3"/>
      </w:pPr>
      <w:r>
        <w:t xml:space="preserve">2. Sistema GSM-R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GSM-R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594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GSM-R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TETRA/GSM-R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GSM-R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GSM-R,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GSM-R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2026-03-13T13:57:39Z</dcterms:created>
  <dcterms:modified xsi:type="dcterms:W3CDTF">2026-03-13T13:57:39Z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