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/>
          <w:bCs/>
        </w:rPr>
        <w:t xml:space="preserve">“flota de vehículos”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Sistemas embarcados:</w:t>
      </w:r>
      <w:r>
        <w:t xml:space="preserve"> </w:t>
      </w:r>
      <w:r>
        <w:t xml:space="preserve">ITCS ETCS Level 2, TETRA + GSM-R, GPS/GNSS, CCTV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Capacidad de transporte requerida para 594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requerida:</w:t>
      </w:r>
      <w:r>
        <w:t xml:space="preserve"> </w:t>
      </w:r>
      <w:r>
        <w:t xml:space="preserve">8 equipos para cobertura de 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594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/>
          <w:bCs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ITCS ETCS Level 2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GSM-R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Event Recorder</w:t>
      </w:r>
      <w:r>
        <w:t xml:space="preserve"> </w:t>
      </w:r>
      <w:r>
        <w:t xml:space="preserve">| Caja negra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/>
          <w:bCs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ETCS Level 2 | ⏳ En adquisición |</w:t>
      </w:r>
      <w:r>
        <w:t xml:space="preserve"> </w:t>
      </w:r>
      <w:r>
        <w:t xml:space="preserve">| Sistemas ATP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GSM-R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con ATP embarcado ETCS Level 2</w:t>
      </w:r>
    </w:p>
    <w:p>
      <w:pPr>
        <w:pStyle w:val="Compact"/>
        <w:numPr>
          <w:ilvl w:val="0"/>
          <w:numId w:val="1003"/>
        </w:numPr>
      </w:pPr>
      <w:r>
        <w:t xml:space="preserve">✅ 51 vagones con capacidad total de 2,550 toneladas</w:t>
      </w:r>
    </w:p>
    <w:p>
      <w:pPr>
        <w:pStyle w:val="Compact"/>
        <w:numPr>
          <w:ilvl w:val="0"/>
          <w:numId w:val="1003"/>
        </w:numPr>
      </w:pPr>
      <w:r>
        <w:t xml:space="preserve">✅ 15 dispositivos EOT para monitoreo de trenes</w:t>
      </w:r>
    </w:p>
    <w:p>
      <w:pPr>
        <w:pStyle w:val="Compact"/>
        <w:numPr>
          <w:ilvl w:val="0"/>
          <w:numId w:val="1003"/>
        </w:numPr>
      </w:pPr>
      <w:r>
        <w:t xml:space="preserve">✅ 3 talleres operativos para mantenimiento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594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Material Rodante:</w:t>
      </w:r>
      <w:r>
        <w:t xml:space="preserve"> </w:t>
      </w:r>
      <w:r>
        <w:t xml:space="preserve">15 locomotoras con ATP embarcado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04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2026-03-13T13:57:40Z</dcterms:created>
  <dcterms:modified xsi:type="dcterms:W3CDTF">2026-03-13T13:57:40Z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