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ñalización"/>
    <w:p>
      <w:pPr>
        <w:pStyle w:val="Heading1"/>
      </w:pPr>
      <w:r>
        <w:t xml:space="preserve">SISTEMA 01: CONTROL Y SEÑALIZACIÓN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ATP Embarcados:</w:t>
      </w:r>
      <w:r>
        <w:t xml:space="preserve"> </w:t>
      </w:r>
      <w:r>
        <w:t xml:space="preserve">PTC PTC VIRTUAL Level 2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CTC-PTC-FENOCO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ATP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0539cd16028147b0ee556cf5a9fc91b508e8572"/>
    <w:p>
      <w:pPr>
        <w:pStyle w:val="Heading3"/>
      </w:pPr>
      <w:r>
        <w:t xml:space="preserve">¿Por qué 8 ATP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ATP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PTC VIRTUAL Level 2: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c4e2d71fb8711953d5fcb1d130c3e3137d88581"/>
    <w:p>
      <w:pPr>
        <w:pStyle w:val="Heading3"/>
      </w:pPr>
      <w:r>
        <w:t xml:space="preserve">¿Por qué PTC VIRTUAL Level 2 (no Level 1 o Level 3)?</w:t>
      </w:r>
    </w:p>
    <w:p>
      <w:pPr>
        <w:pStyle w:val="FirstParagraph"/>
      </w:pPr>
      <w:r>
        <w:rPr>
          <w:b/>
          <w:bCs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Punto de referencia virtuals + ATP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RED TETRA (Misión Crítica) + ATP embarcado | Óptimo costo/beneficio | Requiere RED TETRA (Misión Crítica)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c1270d0ad36b06f1b47f841d35503d08c8f62e0"/>
    <w:p>
      <w:pPr>
        <w:pStyle w:val="Heading3"/>
      </w:pPr>
      <w:r>
        <w:t xml:space="preserve">2. ATP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ATP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ATP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594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UIC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PTC/PTC VIRTUAL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UIC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UIC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ATP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RED TETRA (Misión Crítica)/TETRA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ATP: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Comunicaciones críticas para ATP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ATP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PTC PTC VIRTUAL Level 2 -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PTC PTC VIRTUAL Level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atp-158-unidades"/>
    <w:p>
      <w:pPr>
        <w:pStyle w:val="Heading3"/>
      </w:pPr>
      <w:r>
        <w:t xml:space="preserve">DT-TETRA-001-2025-10-07: ATP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ATP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2026-03-13T19:42:37Z</dcterms:created>
  <dcterms:modified xsi:type="dcterms:W3CDTF">2026-03-13T19:42:37Z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