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2" w:name="especialidad-04-ingeniería-de-sistemas"/>
    <w:p>
      <w:pPr>
        <w:pStyle w:val="Heading1"/>
      </w:pPr>
      <w:r>
        <w:t xml:space="preserve">ESPECIALIDAD 04: INGENIERÍA DE SISTEMAS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3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de Sistemas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nervioso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integra y coordina todos los sistemas técnicos para que trabajen como un conjunto unificado. Es como el software de un computador que hace que todos los componentes trabajen juntos de manera eficiente y segura.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$35,000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6 sistemas técnicos integrados:</w:t>
      </w:r>
      <w:r>
        <w:t xml:space="preserve"> </w:t>
      </w:r>
      <w:r>
        <w:t xml:space="preserve">Control, Telecomunicaciones, ITS, Seguridad, Material Rodante, Infraestructura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APIs:</w:t>
      </w:r>
      <w:r>
        <w:t xml:space="preserve"> </w:t>
      </w:r>
      <w:r>
        <w:t xml:space="preserve">Comunicación con sistemas externos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22 interfaces críticas:</w:t>
      </w:r>
      <w:r>
        <w:t xml:space="preserve"> </w:t>
      </w:r>
      <w:r>
        <w:t xml:space="preserve">Comunicación entre sistemas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APIs:</w:t>
      </w:r>
      <w:r>
        <w:t xml:space="preserve"> </w:t>
      </w:r>
      <w:r>
        <w:t xml:space="preserve">Comunicación con sistemas externos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99.95% disponibilidad:</w:t>
      </w:r>
      <w:r>
        <w:t xml:space="preserve"> </w:t>
      </w:r>
      <w:r>
        <w:t xml:space="preserve">Sistemas críticos integrados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4" w:name="por-qué-6-sistemas-técnicos-integrados"/>
    <w:p>
      <w:pPr>
        <w:pStyle w:val="Heading3"/>
      </w:pPr>
      <w:r>
        <w:t xml:space="preserve">¿Por qué 6 sistemas técnicos integrados?</w:t>
      </w:r>
    </w:p>
    <w:p>
      <w:pPr>
        <w:pStyle w:val="FirstParagraph"/>
      </w:pPr>
      <w:r>
        <w:rPr>
          <w:bCs/>
          <w:b/>
        </w:rPr>
        <w:t xml:space="preserve">Justificación de Integración:</w:t>
      </w:r>
      <w:r>
        <w:t xml:space="preserve"> </w:t>
      </w:r>
      <w:r>
        <w:t xml:space="preserve">| Sistema | Función | Justificación |</w:t>
      </w:r>
      <w:r>
        <w:t xml:space="preserve"> </w:t>
      </w:r>
      <w:r>
        <w:t xml:space="preserve">|:——–|:——–|:————–|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 y Senalización</w:t>
      </w:r>
      <w:r>
        <w:t xml:space="preserve"> </w:t>
      </w:r>
      <w:r>
        <w:t xml:space="preserve">| Control centralizado | Operación segura de trenes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Telecomunicaciones</w:t>
      </w:r>
      <w:r>
        <w:t xml:space="preserve"> </w:t>
      </w:r>
      <w:r>
        <w:t xml:space="preserve">| Comunicaciones | Conectividad entre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ITS y Seguridad</w:t>
      </w:r>
      <w:r>
        <w:t xml:space="preserve"> </w:t>
      </w:r>
      <w:r>
        <w:t xml:space="preserve">| Monitoreo y seguridad | Protección de infraestructura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| Transporte | Capacidad de transporte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Infraestructura</w:t>
      </w:r>
      <w:r>
        <w:t xml:space="preserve"> </w:t>
      </w:r>
      <w:r>
        <w:t xml:space="preserve">| Soporte físico | Base para todos los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Integración</w:t>
      </w:r>
      <w:r>
        <w:t xml:space="preserve"> </w:t>
      </w:r>
      <w:r>
        <w:t xml:space="preserve">| Coordinación | Funcionamiento unificado |</w:t>
      </w:r>
    </w:p>
    <w:bookmarkEnd w:id="24"/>
    <w:bookmarkStart w:id="25" w:name="por-qué-25-interfaces-críticas"/>
    <w:p>
      <w:pPr>
        <w:pStyle w:val="Heading3"/>
      </w:pPr>
      <w:r>
        <w:t xml:space="preserve">¿Por qué 25 interfaces críticas?</w:t>
      </w:r>
    </w:p>
    <w:p>
      <w:pPr>
        <w:pStyle w:val="FirstParagraph"/>
      </w:pPr>
      <w:r>
        <w:rPr>
          <w:bCs/>
          <w:b/>
        </w:rPr>
        <w:t xml:space="preserve">Justificación de Interfaces: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CTC-PTC:</w:t>
      </w:r>
      <w:r>
        <w:t xml:space="preserve"> </w:t>
      </w:r>
      <w:r>
        <w:t xml:space="preserve">5 interfaces para control automático de trenes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TETRA-Red Vital IP / TETRA:</w:t>
      </w:r>
      <w:r>
        <w:t xml:space="preserve"> </w:t>
      </w:r>
      <w:r>
        <w:t xml:space="preserve">4 interfaces para comunicaciones redundantes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ITS-Seguridad:</w:t>
      </w:r>
      <w:r>
        <w:t xml:space="preserve"> </w:t>
      </w:r>
      <w:r>
        <w:t xml:space="preserve">3 interfaces para monitoreo y control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Material Rodante-PTC:</w:t>
      </w:r>
      <w:r>
        <w:t xml:space="preserve"> </w:t>
      </w:r>
      <w:r>
        <w:t xml:space="preserve">4 interfaces para control embarcado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Infraestructura:</w:t>
      </w:r>
      <w:r>
        <w:t xml:space="preserve"> </w:t>
      </w:r>
      <w:r>
        <w:t xml:space="preserve">6 interfaces para coordinación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FENOCO:</w:t>
      </w:r>
      <w:r>
        <w:t xml:space="preserve"> </w:t>
      </w:r>
      <w:r>
        <w:t xml:space="preserve">Procedimiento operacional a bordo</w:t>
      </w:r>
    </w:p>
    <w:bookmarkEnd w:id="25"/>
    <w:bookmarkStart w:id="26" w:name="Xf128172b9130ed1ab097bf78f15bd8d3911731a"/>
    <w:p>
      <w:pPr>
        <w:pStyle w:val="Heading3"/>
      </w:pPr>
      <w:r>
        <w:t xml:space="preserve">¿Por qué 15 protocolos de interoperabilidad?</w:t>
      </w:r>
    </w:p>
    <w:p>
      <w:pPr>
        <w:pStyle w:val="FirstParagraph"/>
      </w:pPr>
      <w:r>
        <w:rPr>
          <w:bCs/>
          <w:b/>
        </w:rPr>
        <w:t xml:space="preserve">Justificación de Protocolos: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920-2:</w:t>
      </w:r>
      <w:r>
        <w:t xml:space="preserve"> </w:t>
      </w:r>
      <w:r>
        <w:t xml:space="preserve">Comunicaciones Red Vital IP / TETRA estándar internacional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438:</w:t>
      </w:r>
      <w:r>
        <w:t xml:space="preserve"> </w:t>
      </w:r>
      <w:r>
        <w:t xml:space="preserve">Senalización ferroviaria compatible con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930:</w:t>
      </w:r>
      <w:r>
        <w:t xml:space="preserve"> </w:t>
      </w:r>
      <w:r>
        <w:t xml:space="preserve">Sistemas de senalización interoperables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950:</w:t>
      </w:r>
      <w:r>
        <w:t xml:space="preserve"> </w:t>
      </w:r>
      <w:r>
        <w:t xml:space="preserve">Control de tráfico coordinado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FFFIS:</w:t>
      </w:r>
      <w:r>
        <w:t xml:space="preserve"> </w:t>
      </w:r>
      <w:r>
        <w:t xml:space="preserve">Interfaces CTC-PTC específicas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EN 50159:</w:t>
      </w:r>
      <w:r>
        <w:t xml:space="preserve"> </w:t>
      </w:r>
      <w:r>
        <w:t xml:space="preserve">Seguridad de comunicaciones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función-y-propósito-de-la-especialidad"/>
    <w:p>
      <w:pPr>
        <w:pStyle w:val="Heading2"/>
      </w:pPr>
      <w:r>
        <w:t xml:space="preserve">🎯 FUNCIÓN Y PROPÓSITO DE LA ESPECIALIDAD</w:t>
      </w:r>
    </w:p>
    <w:bookmarkStart w:id="28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de Sistemas proporciona</w:t>
      </w:r>
      <w:r>
        <w:t xml:space="preserve"> </w:t>
      </w:r>
      <w:r>
        <w:rPr>
          <w:bCs/>
          <w:b/>
        </w:rPr>
        <w:t xml:space="preserve">integración y coordinación</w:t>
      </w:r>
      <w:r>
        <w:t xml:space="preserve"> </w:t>
      </w:r>
      <w:r>
        <w:t xml:space="preserve">entre todos los sistemas: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Interfaces:</w:t>
      </w:r>
      <w:r>
        <w:t xml:space="preserve"> </w:t>
      </w:r>
      <w:r>
        <w:t xml:space="preserve">Comunicación entre sistemas técnicos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Protocolos:</w:t>
      </w:r>
      <w:r>
        <w:t xml:space="preserve"> </w:t>
      </w:r>
      <w:r>
        <w:t xml:space="preserve">Estándares de interoperabilidad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APIs:</w:t>
      </w:r>
      <w:r>
        <w:t xml:space="preserve"> </w:t>
      </w:r>
      <w:r>
        <w:t xml:space="preserve">Comunicación con sistemas externos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Coordinación:</w:t>
      </w:r>
      <w:r>
        <w:t xml:space="preserve"> </w:t>
      </w:r>
      <w:r>
        <w:t xml:space="preserve">Funcionamiento unificado de todos los sistemas</w:t>
      </w:r>
    </w:p>
    <w:bookmarkEnd w:id="28"/>
    <w:bookmarkStart w:id="29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Integración:</w:t>
      </w:r>
      <w:r>
        <w:t xml:space="preserve"> </w:t>
      </w:r>
      <w:r>
        <w:t xml:space="preserve">Sistemas que trabajen como un conjunto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Interoperabilidad:</w:t>
      </w:r>
      <w:r>
        <w:t xml:space="preserve"> </w:t>
      </w:r>
      <w:r>
        <w:t xml:space="preserve">Compatibilidad con FENOCO y estándares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funcionamiento conjunto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Coordinación de sistemas de seguridad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Gestión integrada de todos los sistemas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componentes-principales"/>
    <w:p>
      <w:pPr>
        <w:pStyle w:val="Heading2"/>
      </w:pPr>
      <w:r>
        <w:t xml:space="preserve">🏗️ COMPONENTES PRINCIPALES</w:t>
      </w:r>
    </w:p>
    <w:bookmarkStart w:id="31" w:name="sistema-de-integración"/>
    <w:p>
      <w:pPr>
        <w:pStyle w:val="Heading3"/>
      </w:pPr>
      <w:r>
        <w:t xml:space="preserve">1. Sistema de Integración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Coordinación entre todos los sistemas técnicos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Interfaces</w:t>
      </w:r>
      <w:r>
        <w:t xml:space="preserve"> </w:t>
      </w:r>
      <w:r>
        <w:t xml:space="preserve">| 25 críticas | Comunicación entre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Protocolos</w:t>
      </w:r>
      <w:r>
        <w:t xml:space="preserve"> </w:t>
      </w:r>
      <w:r>
        <w:t xml:space="preserve">| 15 estándares |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APIs</w:t>
      </w:r>
      <w:r>
        <w:t xml:space="preserve"> </w:t>
      </w:r>
      <w:r>
        <w:t xml:space="preserve">| 12 externas | Comunicación con FENOCO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Disponibilidad</w:t>
      </w:r>
      <w:r>
        <w:t xml:space="preserve"> </w:t>
      </w:r>
      <w:r>
        <w:t xml:space="preserve">| 99.95% | Sistemas críticos |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especificaciones-técnicas-clave"/>
    <w:p>
      <w:pPr>
        <w:pStyle w:val="Heading2"/>
      </w:pPr>
      <w:r>
        <w:t xml:space="preserve">📐 ESPECIFICACIONES TÉCNICAS CLAVE</w:t>
      </w:r>
    </w:p>
    <w:bookmarkStart w:id="33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+ FFFIS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APIs externas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3"/>
    <w:bookmarkStart w:id="34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22 interfaces críticas operativas</w:t>
      </w:r>
    </w:p>
    <w:p>
      <w:pPr>
        <w:numPr>
          <w:ilvl w:val="0"/>
          <w:numId w:val="1003"/>
        </w:numPr>
        <w:pStyle w:val="Compact"/>
      </w:pPr>
      <w:r>
        <w:t xml:space="preserve">✅ 12 protocolos implementados</w:t>
      </w:r>
    </w:p>
    <w:p>
      <w:pPr>
        <w:numPr>
          <w:ilvl w:val="0"/>
          <w:numId w:val="1003"/>
        </w:numPr>
        <w:pStyle w:val="Compact"/>
      </w:pPr>
      <w:r>
        <w:t xml:space="preserve">✅ 12 APIs funcionando</w:t>
      </w:r>
    </w:p>
    <w:p>
      <w:pPr>
        <w:numPr>
          <w:ilvl w:val="0"/>
          <w:numId w:val="1003"/>
        </w:numPr>
        <w:pStyle w:val="Compact"/>
      </w:pPr>
      <w:r>
        <w:t xml:space="preserve">✅ Disponibilidad 99.95%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ubicación-y-despliegue"/>
    <w:p>
      <w:pPr>
        <w:pStyle w:val="Heading2"/>
      </w:pPr>
      <w:r>
        <w:t xml:space="preserve">📍 UBICACIÓN Y DESPLIEGUE</w:t>
      </w:r>
    </w:p>
    <w:bookmarkStart w:id="36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Los sistemas de integración están centralizados en el CCO La Dorada y se extienden a todos los sistemas del proyecto.</w:t>
      </w:r>
    </w:p>
    <w:bookmarkEnd w:id="36"/>
    <w:bookmarkStart w:id="37" w:name="tabla-de-ubicaciones-principales"/>
    <w:p>
      <w:pPr>
        <w:pStyle w:val="Heading3"/>
      </w:pPr>
      <w:r>
        <w:t xml:space="preserve">Tabla de ubicaciones principales</w:t>
      </w:r>
    </w:p>
    <w:p>
      <w:pPr>
        <w:pStyle w:val="FirstParagraph"/>
      </w:pPr>
      <w:r>
        <w:rPr>
          <w:bCs/>
          <w:b/>
        </w:rPr>
        <w:t xml:space="preserve">CCO La Dorada</w:t>
      </w:r>
      <w:r>
        <w:t xml:space="preserve"> </w:t>
      </w:r>
      <w:r>
        <w:t xml:space="preserve">| Monitoreo + Control | Integración centralizada | ⏳ En desarrollo |</w:t>
      </w:r>
      <w:r>
        <w:br/>
      </w:r>
      <w:r>
        <w:rPr>
          <w:bCs/>
          <w:b/>
        </w:rPr>
        <w:t xml:space="preserve">Sistemas distribuidos</w:t>
      </w:r>
      <w:r>
        <w:t xml:space="preserve"> </w:t>
      </w:r>
      <w:r>
        <w:t xml:space="preserve">| Interfaces + APIs | Comunicación distribuida | ⏳ En desarrollo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operación-y-mantenimiento"/>
    <w:p>
      <w:pPr>
        <w:pStyle w:val="Heading2"/>
      </w:pPr>
      <w:r>
        <w:t xml:space="preserve">⚙️ OPERACIÓN Y MANTENIMIENTO</w:t>
      </w:r>
    </w:p>
    <w:bookmarkStart w:id="39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Los sistemas de integración operan 24/7 coordinando todos los sistemas técnicos, con monitoreo automático de interfaces y protocolos.</w:t>
      </w:r>
    </w:p>
    <w:bookmarkEnd w:id="39"/>
    <w:bookmarkStart w:id="40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interfaces críticas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interoperabilidad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Calibración de protocolos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Actualización de software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Certificación de interoperabilidad</w:t>
      </w:r>
    </w:p>
    <w:bookmarkEnd w:id="40"/>
    <w:bookmarkStart w:id="41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en interfaces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técnico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5" w:name="interfaces-con-otras-especialidades"/>
    <w:p>
      <w:pPr>
        <w:pStyle w:val="Heading2"/>
      </w:pPr>
      <w:r>
        <w:t xml:space="preserve">🔗 INTERFACES CON OTRAS ESPECIALIDADES</w:t>
      </w:r>
    </w:p>
    <w:bookmarkStart w:id="43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de Sistemas] ←→ [Todas las Especialidades]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[Integración y Coordinación]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[Funcionamiento Unificado]</w:t>
      </w:r>
    </w:p>
    <w:bookmarkEnd w:id="43"/>
    <w:bookmarkStart w:id="44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End w:id="45"/>
    <w:bookmarkStart w:id="49" w:name="supuestos-técnicos-y-limitaciones"/>
    <w:p>
      <w:pPr>
        <w:pStyle w:val="Heading2"/>
      </w:pPr>
      <w:r>
        <w:t xml:space="preserve">📋 SUPUESTOS TÉCNICOS Y LIMITACIONES</w:t>
      </w:r>
    </w:p>
    <w:bookmarkStart w:id="46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Fallo en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Protocolos estándar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+ FFFIS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Incompatibilidad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Mapeo de protocolos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Interoperabilidad FENOCO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Protocolos FRA/AREMA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operativas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Procedimiento Operacional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Degradación 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red</w:t>
            </w:r>
          </w:p>
        </w:tc>
      </w:tr>
    </w:tbl>
    <w:bookmarkEnd w:id="46"/>
    <w:bookmarkStart w:id="47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Dependencia de sistemas:</w:t>
      </w:r>
      <w:r>
        <w:t xml:space="preserve"> </w:t>
      </w:r>
      <w:r>
        <w:t xml:space="preserve">Fallo en un sistema afecta integración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Complejidad:</w:t>
      </w:r>
      <w:r>
        <w:t xml:space="preserve"> </w:t>
      </w:r>
      <w:r>
        <w:t xml:space="preserve">Múltiples interfaces y protocolos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Actualizaciones:</w:t>
      </w:r>
      <w:r>
        <w:t xml:space="preserve"> </w:t>
      </w:r>
      <w:r>
        <w:t xml:space="preserve">Cambios en un sistema afectan integración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Múltiples puntos de acceso</w:t>
      </w:r>
    </w:p>
    <w:bookmarkEnd w:id="47"/>
    <w:bookmarkStart w:id="48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Todos los sistemas técnicos:</w:t>
      </w:r>
      <w:r>
        <w:t xml:space="preserve"> </w:t>
      </w:r>
      <w:r>
        <w:t xml:space="preserve">Dependencia total para funcionamiento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Protocolos estándar:</w:t>
      </w:r>
      <w:r>
        <w:t xml:space="preserve"> </w:t>
      </w:r>
      <w:r>
        <w:t xml:space="preserve">FRA/AREMA, FFFIS, EN 50159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especializado:</w:t>
      </w:r>
      <w:r>
        <w:t xml:space="preserve"> </w:t>
      </w:r>
      <w:r>
        <w:t xml:space="preserve">Integración y mantenimiento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Software especializado:</w:t>
      </w:r>
      <w:r>
        <w:t xml:space="preserve"> </w:t>
      </w:r>
      <w:r>
        <w:t xml:space="preserve">Sistemas de integración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Comunicaciones:</w:t>
      </w:r>
      <w:r>
        <w:t xml:space="preserve"> </w:t>
      </w:r>
      <w:r>
        <w:t xml:space="preserve">Red de datos y telecomunicaciones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Incompatibilidad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Mapeo estandarizado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Múltiples rutas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Actualizaciones de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actualizaciones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3" w:name="cumplimiento-contractual"/>
    <w:p>
      <w:pPr>
        <w:pStyle w:val="Heading2"/>
      </w:pPr>
      <w:r>
        <w:t xml:space="preserve">📋 CUMPLIMIENTO CONTRACTUAL</w:t>
      </w:r>
    </w:p>
    <w:bookmarkStart w:id="51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Sistemas integrados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Coordinación operacional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Interfaces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Cl13.1 - Interoperabilidad:</w:t>
      </w:r>
      <w:r>
        <w:t xml:space="preserve"> </w:t>
      </w:r>
      <w:r>
        <w:t xml:space="preserve">Compatibilidad FENOCO - En progreso</w:t>
      </w:r>
    </w:p>
    <w:bookmarkEnd w:id="51"/>
    <w:bookmarkStart w:id="52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Sistemas integrados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Coordinación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Interfaces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Cláusula 13.1:</w:t>
      </w:r>
      <w:r>
        <w:t xml:space="preserve"> </w:t>
      </w:r>
      <w:r>
        <w:t xml:space="preserve">Interoperabilidad con FENOCO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6" w:name="documentación-de-soporte"/>
    <w:p>
      <w:pPr>
        <w:pStyle w:val="Heading2"/>
      </w:pPr>
      <w:r>
        <w:t xml:space="preserve">📚 DOCUMENTACIÓN DE SOPORTE</w:t>
      </w:r>
    </w:p>
    <w:bookmarkStart w:id="54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ESPECIALIDAD_04_Ingenieria_Sistemas_Master.md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V.5.1_Plan_Integracion_Sistemas_COMPLETO.md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54"/>
    <w:bookmarkStart w:id="55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58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Interfaces operativas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Protocolos implementados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Interoperabilidad FENOCO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60" w:name="decisiones-tecnicas-aplicadas"/>
    <w:p>
      <w:pPr>
        <w:pStyle w:val="Heading2"/>
      </w:pPr>
      <w:r>
        <w:t xml:space="preserve">📋 DECISIONES TECNICAS APLICADAS</w:t>
      </w:r>
    </w:p>
    <w:bookmarkStart w:id="59" w:name="software-redes-integracion"/>
    <w:p>
      <w:pPr>
        <w:pStyle w:val="Heading3"/>
      </w:pPr>
      <w:r>
        <w:t xml:space="preserve">Software, redes, integracion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ESPECIALIDAD_04_Ingenieria_Sistemas_Master.md v1.0</w:t>
      </w:r>
    </w:p>
    <w:bookmarkEnd w:id="61"/>
    <w:bookmarkEnd w:id="6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2026-04-09T22:36:55Z</dcterms:created>
  <dcterms:modified xsi:type="dcterms:W3CDTF">2026-04-09T22:36:55Z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