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director de orquesta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CTC-PTC (FFFIS), TETRA-Red Vital IP / TETRA, ITS-Seguridad, Material Rodante-PTC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 de interoperabilidad:</w:t>
      </w:r>
      <w:r>
        <w:t xml:space="preserve"> </w:t>
      </w:r>
      <w:r>
        <w:t xml:space="preserve">FRA/AREMA 920-2, FRA/AREMA 438, FRA/AREMA 930, FRA/AREMA 950, FFFIS, EN 50159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Cs/>
          <w:b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TETRA-Red Vital IP / TETRA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Rodante-PTC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920-2</w:t>
      </w:r>
      <w:r>
        <w:t xml:space="preserve"> </w:t>
      </w:r>
      <w:r>
        <w:t xml:space="preserve">| Comunicaciones Red Vital IP / TETRA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438</w:t>
      </w:r>
      <w:r>
        <w:t xml:space="preserve"> </w:t>
      </w:r>
      <w:r>
        <w:t xml:space="preserve">| Senalización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930</w:t>
      </w:r>
      <w:r>
        <w:t xml:space="preserve"> </w:t>
      </w:r>
      <w:r>
        <w:t xml:space="preserve">| Sistemas de senalización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Cs/>
          <w:b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Cs/>
          <w:b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Cs/>
          <w:b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 FRA/AREMA: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Cs/>
          <w:b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FRA/AREMA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FRA/AREMA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Vital IP / TETRA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Senalización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operativas entre sistemas</w:t>
      </w:r>
    </w:p>
    <w:p>
      <w:pPr>
        <w:numPr>
          <w:ilvl w:val="0"/>
          <w:numId w:val="1003"/>
        </w:numPr>
        <w:pStyle w:val="Compact"/>
      </w:pPr>
      <w:r>
        <w:t xml:space="preserve">✅ 15 protocolos de comunicación implementados</w:t>
      </w:r>
    </w:p>
    <w:p>
      <w:pPr>
        <w:numPr>
          <w:ilvl w:val="0"/>
          <w:numId w:val="1003"/>
        </w:numPr>
        <w:pStyle w:val="Compact"/>
      </w:pPr>
      <w:r>
        <w:t xml:space="preserve">✅ 12 APIs de integración funcionales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coordinación</w:t>
      </w:r>
    </w:p>
    <w:p>
      <w:pPr>
        <w:numPr>
          <w:ilvl w:val="0"/>
          <w:numId w:val="1003"/>
        </w:numPr>
        <w:pStyle w:val="Compact"/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06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2026-04-09T22:33:10Z</dcterms:created>
  <dcterms:modified xsi:type="dcterms:W3CDTF">2026-04-09T22:33:10Z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