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6-integración-y-coordinación"/>
    <w:p>
      <w:pPr>
        <w:pStyle w:val="Heading1"/>
      </w:pPr>
      <w:r>
        <w:t xml:space="preserve">SISTEMA 06: INTEGRACIÓN Y COORDINACIÓN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Integración y Coordinación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director de orquesta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coordina y sincroniza todos los sistemas técnicos para que trabajen en armonía. Es como el sistema nervioso central que asegura que todos los componentes del ferrocarril funcionen como un conjunto integrado y eficiente.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25 interfaces críticas:</w:t>
      </w:r>
      <w:r>
        <w:t xml:space="preserve"> </w:t>
      </w:r>
      <w:r>
        <w:t xml:space="preserve">CTC-PTC (FFFIS), TETRA-Red Vital IP / TETRA, ITS-Seguridad, Material Rodante-PTC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protocolos de interoperabilidad:</w:t>
      </w:r>
      <w:r>
        <w:t xml:space="preserve"> </w:t>
      </w:r>
      <w:r>
        <w:t xml:space="preserve">FRA/AREMA 920-2, FRA/AREMA 438, FRA/AREMA 930, FRA/AREMA 950, FFFIS, EN 50159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APIs de integración:</w:t>
      </w:r>
      <w:r>
        <w:t xml:space="preserve"> </w:t>
      </w:r>
      <w:r>
        <w:t xml:space="preserve">Comunicación entre sistemas y FENOCO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Gateway de integración:</w:t>
      </w:r>
      <w:r>
        <w:t xml:space="preserve"> </w:t>
      </w:r>
      <w:r>
        <w:t xml:space="preserve">Conversión de protocolos entre sistemas y red nacional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Cronograma de integración:</w:t>
      </w:r>
      <w:r>
        <w:t xml:space="preserve"> </w:t>
      </w:r>
      <w:r>
        <w:t xml:space="preserve">9 meses por fases (civil-eléctrica-mecánica-sistemas)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 integración entre sistemas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99.95% (sistema crítico para operación)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Desarrollo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X20ae83a0295937f8e7c6f46a10faf6cee53dd80"/>
    <w:p>
      <w:pPr>
        <w:pStyle w:val="Heading3"/>
      </w:pPr>
      <w:r>
        <w:t xml:space="preserve">¿Por qué 25 interfaces críticas específicamente?</w:t>
      </w:r>
    </w:p>
    <w:p>
      <w:pPr>
        <w:pStyle w:val="FirstParagraph"/>
      </w:pPr>
      <w:r>
        <w:rPr>
          <w:bCs/>
          <w:b/>
        </w:rPr>
        <w:t xml:space="preserve">Desglose de Interfaces por Sistema:</w:t>
      </w:r>
      <w:r>
        <w:t xml:space="preserve"> </w:t>
      </w:r>
      <w:r>
        <w:t xml:space="preserve">| Sistema | Interfaces | Justificación |</w:t>
      </w:r>
      <w:r>
        <w:t xml:space="preserve"> </w:t>
      </w:r>
      <w:r>
        <w:t xml:space="preserve">|:——–|:———–|:————–|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CTC-PTC</w:t>
      </w:r>
      <w:r>
        <w:t xml:space="preserve"> </w:t>
      </w:r>
      <w:r>
        <w:t xml:space="preserve">| 5 interfaces | Control automático de trenes (FFFIS)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TETRA-Red Vital IP / TETRA</w:t>
      </w:r>
      <w:r>
        <w:t xml:space="preserve"> </w:t>
      </w:r>
      <w:r>
        <w:t xml:space="preserve">| 4 interfaces | Comunicaciones redundantes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ITS-Seguridad</w:t>
      </w:r>
      <w:r>
        <w:t xml:space="preserve"> </w:t>
      </w:r>
      <w:r>
        <w:t xml:space="preserve">| 3 interfaces | Monitoreo y control de seguridad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Material Rodante-PTC</w:t>
      </w:r>
      <w:r>
        <w:t xml:space="preserve"> </w:t>
      </w:r>
      <w:r>
        <w:t xml:space="preserve">| 4 interfaces | Control embarcado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Infraestructura</w:t>
      </w:r>
      <w:r>
        <w:t xml:space="preserve"> </w:t>
      </w:r>
      <w:r>
        <w:t xml:space="preserve">| 6 interfaces | Coordinación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FENOCO</w:t>
      </w:r>
      <w:r>
        <w:t xml:space="preserve"> </w:t>
      </w:r>
      <w:r>
        <w:t xml:space="preserve">| 3 interfaces | Interoperabilidad nacional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25 interfaces críticas para operación integrada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Cs/>
          <w:b/>
        </w:rPr>
        <w:t xml:space="preserve">Justificación de Protocolos:</w:t>
      </w:r>
      <w:r>
        <w:t xml:space="preserve"> </w:t>
      </w:r>
      <w:r>
        <w:t xml:space="preserve">| Protocolo | Función | Justificación |</w:t>
      </w:r>
      <w:r>
        <w:t xml:space="preserve"> </w:t>
      </w:r>
      <w:r>
        <w:t xml:space="preserve">|:———-|:——–|:————–|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920-2</w:t>
      </w:r>
      <w:r>
        <w:t xml:space="preserve"> </w:t>
      </w:r>
      <w:r>
        <w:t xml:space="preserve">| Comunicaciones Red Vital IP / TETRA | Estándar internacional ferroviario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438</w:t>
      </w:r>
      <w:r>
        <w:t xml:space="preserve"> </w:t>
      </w:r>
      <w:r>
        <w:t xml:space="preserve">| Senalización ferroviaria | Compatibilidad con FENOCO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930</w:t>
      </w:r>
      <w:r>
        <w:t xml:space="preserve"> </w:t>
      </w:r>
      <w:r>
        <w:t xml:space="preserve">| Sistemas de senalización | Interoperabilidad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FRA/AREMA 950</w:t>
      </w:r>
      <w:r>
        <w:t xml:space="preserve"> </w:t>
      </w:r>
      <w:r>
        <w:t xml:space="preserve">| Control de tráfico | Coordinación entre centros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FFFIS</w:t>
      </w:r>
      <w:r>
        <w:t xml:space="preserve"> </w:t>
      </w:r>
      <w:r>
        <w:t xml:space="preserve">| Interfaces CTC-PTC | Especificación de interfaces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EN 50159</w:t>
      </w:r>
      <w:r>
        <w:t xml:space="preserve"> </w:t>
      </w:r>
      <w:r>
        <w:t xml:space="preserve">| Seguridad comunicaciones | Seguridad funcional |</w:t>
      </w:r>
    </w:p>
    <w:p>
      <w:pPr>
        <w:pStyle w:val="BodyText"/>
      </w:pPr>
      <w:r>
        <w:rPr>
          <w:bCs/>
          <w:b/>
        </w:rPr>
        <w:t xml:space="preserve">Total:</w:t>
      </w:r>
      <w:r>
        <w:t xml:space="preserve"> </w:t>
      </w:r>
      <w:r>
        <w:t xml:space="preserve">15 protocolos para interoperabilidad completa</w:t>
      </w:r>
    </w:p>
    <w:bookmarkEnd w:id="26"/>
    <w:bookmarkStart w:id="27" w:name="por-qué-12-apis-de-integración"/>
    <w:p>
      <w:pPr>
        <w:pStyle w:val="Heading3"/>
      </w:pPr>
      <w:r>
        <w:t xml:space="preserve">¿Por qué 12 APIs de integración?</w:t>
      </w:r>
    </w:p>
    <w:p>
      <w:pPr>
        <w:pStyle w:val="FirstParagraph"/>
      </w:pPr>
      <w:r>
        <w:rPr>
          <w:bCs/>
          <w:b/>
        </w:rPr>
        <w:t xml:space="preserve">Justificación de APIs: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FENOCO:</w:t>
      </w:r>
      <w:r>
        <w:t xml:space="preserve"> </w:t>
      </w:r>
      <w:r>
        <w:t xml:space="preserve">Interoperabilidad con red nacional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APIs CTC:</w:t>
      </w:r>
      <w:r>
        <w:t xml:space="preserve"> </w:t>
      </w:r>
      <w:r>
        <w:t xml:space="preserve">Control de tráfico centralizado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ITS:</w:t>
      </w:r>
      <w:r>
        <w:t xml:space="preserve"> </w:t>
      </w:r>
      <w:r>
        <w:t xml:space="preserve">Sistemas inteligentes de transporte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Seguridad:</w:t>
      </w:r>
      <w:r>
        <w:t xml:space="preserve"> </w:t>
      </w:r>
      <w:r>
        <w:t xml:space="preserve">Sistemas de seguridad integrados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APIs Material Rodante:</w:t>
      </w:r>
      <w:r>
        <w:t xml:space="preserve"> </w:t>
      </w:r>
      <w:r>
        <w:t xml:space="preserve">Control embarcado</w:t>
      </w:r>
    </w:p>
    <w:bookmarkEnd w:id="27"/>
    <w:bookmarkStart w:id="28" w:name="por-qué-gateway-de-integración"/>
    <w:p>
      <w:pPr>
        <w:pStyle w:val="Heading3"/>
      </w:pPr>
      <w:r>
        <w:t xml:space="preserve">¿Por qué Gateway de integración?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Conversión de protocolos:</w:t>
      </w:r>
      <w:r>
        <w:t xml:space="preserve"> </w:t>
      </w:r>
      <w:r>
        <w:t xml:space="preserve">Entre sistemas locales y FENOCO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Traducción de datos:</w:t>
      </w:r>
      <w:r>
        <w:t xml:space="preserve"> </w:t>
      </w:r>
      <w:r>
        <w:t xml:space="preserve">Formatos compatibles entre sistemas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Autenticación y cifrado de comunicaciones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de interfaces críticas</w:t>
      </w:r>
    </w:p>
    <w:bookmarkEnd w:id="28"/>
    <w:bookmarkStart w:id="29" w:name="por-qué-cronograma-de-9-meses-por-fases"/>
    <w:p>
      <w:pPr>
        <w:pStyle w:val="Heading3"/>
      </w:pPr>
      <w:r>
        <w:t xml:space="preserve">¿Por qué cronograma de 9 meses por fases?</w:t>
      </w:r>
    </w:p>
    <w:p>
      <w:pPr>
        <w:pStyle w:val="FirstParagraph"/>
      </w:pPr>
      <w:r>
        <w:rPr>
          <w:bCs/>
          <w:b/>
        </w:rPr>
        <w:t xml:space="preserve">Justificación de Fases:</w:t>
      </w:r>
      <w:r>
        <w:t xml:space="preserve"> </w:t>
      </w:r>
      <w:r>
        <w:t xml:space="preserve">| Fase | Duración | Justificación |</w:t>
      </w:r>
      <w:r>
        <w:t xml:space="preserve"> </w:t>
      </w:r>
      <w:r>
        <w:t xml:space="preserve">|:—–|:———|:————–|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Civil-Eléctrica</w:t>
      </w:r>
      <w:r>
        <w:t xml:space="preserve"> </w:t>
      </w:r>
      <w:r>
        <w:t xml:space="preserve">| 2 meses | Base física y alimentación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Eléctrica-Mecánica</w:t>
      </w:r>
      <w:r>
        <w:t xml:space="preserve"> </w:t>
      </w:r>
      <w:r>
        <w:t xml:space="preserve">| 2 meses | Sistemas de potencia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Mecánica-Sistemas</w:t>
      </w:r>
      <w:r>
        <w:t xml:space="preserve"> </w:t>
      </w:r>
      <w:r>
        <w:t xml:space="preserve">| 1 mes | Integración de sistemas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Sistemas de Datos</w:t>
      </w:r>
      <w:r>
        <w:t xml:space="preserve"> </w:t>
      </w:r>
      <w:r>
        <w:t xml:space="preserve">| 1 mes | Comunicaciones y datos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Monitoreo</w:t>
      </w:r>
      <w:r>
        <w:t xml:space="preserve"> </w:t>
      </w:r>
      <w:r>
        <w:t xml:space="preserve">| 1 mes | Sistemas de supervisión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Control</w:t>
      </w:r>
      <w:r>
        <w:t xml:space="preserve"> </w:t>
      </w:r>
      <w:r>
        <w:t xml:space="preserve">| 1 mes | Control centralizado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Pruebas</w:t>
      </w:r>
      <w:r>
        <w:t xml:space="preserve"> </w:t>
      </w:r>
      <w:r>
        <w:t xml:space="preserve">| 1 mes | Validación completa |</w:t>
      </w:r>
    </w:p>
    <w:bookmarkEnd w:id="29"/>
    <w:bookmarkStart w:id="30" w:name="por-qué-interoperabilidad-con-fenoco"/>
    <w:p>
      <w:pPr>
        <w:pStyle w:val="Heading3"/>
      </w:pPr>
      <w:r>
        <w:t xml:space="preserve">¿Por qué interoperabilidad con FENOCO?</w:t>
      </w:r>
    </w:p>
    <w:p>
      <w:pPr>
        <w:pStyle w:val="FirstParagraph"/>
      </w:pPr>
      <w:r>
        <w:rPr>
          <w:bCs/>
          <w:b/>
        </w:rPr>
        <w:t xml:space="preserve">Justificación Contractual (Cl13.1):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 ferroviaria nacional:</w:t>
      </w:r>
      <w:r>
        <w:t xml:space="preserve"> </w:t>
      </w:r>
      <w:r>
        <w:t xml:space="preserve">Continuidad de operación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Compatibilidad operativa:</w:t>
      </w:r>
      <w:r>
        <w:t xml:space="preserve"> </w:t>
      </w:r>
      <w:r>
        <w:t xml:space="preserve">Material rodante dual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 FRA/AREMA:</w:t>
      </w:r>
      <w:r>
        <w:t xml:space="preserve"> </w:t>
      </w:r>
      <w:r>
        <w:t xml:space="preserve">Estándares internacionales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integrada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Eficiencia:</w:t>
      </w:r>
      <w:r>
        <w:t xml:space="preserve"> </w:t>
      </w:r>
      <w:r>
        <w:t xml:space="preserve">Optimización de recursos nacionales</w:t>
      </w:r>
    </w:p>
    <w:bookmarkEnd w:id="30"/>
    <w:bookmarkStart w:id="31" w:name="por-qué-disponibilidad-99.95"/>
    <w:p>
      <w:pPr>
        <w:pStyle w:val="Heading3"/>
      </w:pPr>
      <w:r>
        <w:t xml:space="preserve">¿Por qué disponibilidad 99.95%?</w:t>
      </w:r>
    </w:p>
    <w:p>
      <w:pPr>
        <w:pStyle w:val="FirstParagraph"/>
      </w:pPr>
      <w:r>
        <w:rPr>
          <w:bCs/>
          <w:b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 crítico:</w:t>
      </w:r>
      <w:r>
        <w:t xml:space="preserve"> </w:t>
      </w:r>
      <w:r>
        <w:t xml:space="preserve">Fallo afecta operación completa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Dependencias:</w:t>
      </w:r>
      <w:r>
        <w:t xml:space="preserve"> </w:t>
      </w:r>
      <w:r>
        <w:t xml:space="preserve">Múltiples sistemas dependen de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Redundancia:</w:t>
      </w:r>
      <w:r>
        <w:t xml:space="preserve"> </w:t>
      </w:r>
      <w:r>
        <w:t xml:space="preserve">Múltiples rutas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Respaldo:</w:t>
      </w:r>
      <w:r>
        <w:t xml:space="preserve"> </w:t>
      </w:r>
      <w:r>
        <w:t xml:space="preserve">Sistemas de respaldo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Monitoreo:</w:t>
      </w:r>
      <w:r>
        <w:t xml:space="preserve"> </w:t>
      </w:r>
      <w:r>
        <w:t xml:space="preserve">Supervisión continua de interfaces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Integración y Coordinación proporciona</w:t>
      </w:r>
      <w:r>
        <w:t xml:space="preserve"> </w:t>
      </w:r>
      <w:r>
        <w:rPr>
          <w:bCs/>
          <w:b/>
        </w:rPr>
        <w:t xml:space="preserve">coordinación integral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Protocolos:</w:t>
      </w:r>
      <w:r>
        <w:t xml:space="preserve"> </w:t>
      </w:r>
      <w:r>
        <w:t xml:space="preserve">Estándares de comunicación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APIs:</w:t>
      </w:r>
      <w:r>
        <w:t xml:space="preserve"> </w:t>
      </w:r>
      <w:r>
        <w:t xml:space="preserve">Interfaces de programación para integración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Coordinación:</w:t>
      </w:r>
      <w:r>
        <w:t xml:space="preserve"> </w:t>
      </w:r>
      <w:r>
        <w:t xml:space="preserve">Gestión de dependencias y sincronización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Integración:</w:t>
      </w:r>
      <w:r>
        <w:t xml:space="preserve"> </w:t>
      </w:r>
      <w:r>
        <w:t xml:space="preserve">Coordinación entre todos los sistemas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Mantenimiento:</w:t>
      </w:r>
      <w:r>
        <w:t xml:space="preserve"> </w:t>
      </w:r>
      <w:r>
        <w:t xml:space="preserve">Simplificación de operación y mantenimiento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Escalabilidad:</w:t>
      </w:r>
      <w:r>
        <w:t xml:space="preserve"> </w:t>
      </w:r>
      <w:r>
        <w:t xml:space="preserve">Facilidad para futuras expansiones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interfaces-entre-sistemas---comunicación"/>
    <w:p>
      <w:pPr>
        <w:pStyle w:val="Heading3"/>
      </w:pPr>
      <w:r>
        <w:t xml:space="preserve">1. Interfaces entre Sistemas - Comunicación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Comunicación bidireccional entre todos los sistemas técnicos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Interfaces CTC-Telecom | 5 unidades | Protocolo FFFIS | ⏳ En desarrollo |</w:t>
      </w:r>
      <w:r>
        <w:t xml:space="preserve"> </w:t>
      </w:r>
      <w:r>
        <w:t xml:space="preserve">| Interfaces CTC-ITS | 3 unidades | Protocolo IEC 61850 | ⏳ En desarrollo |</w:t>
      </w:r>
      <w:r>
        <w:t xml:space="preserve"> </w:t>
      </w:r>
      <w:r>
        <w:t xml:space="preserve">| Interfaces CTC-Material | 2 unidades | Protocolo FRA/AREMA | ⏳ En desarrollo |</w:t>
      </w:r>
      <w:r>
        <w:t xml:space="preserve"> </w:t>
      </w:r>
      <w:r>
        <w:t xml:space="preserve">| Interfaces Telecom-ITS | 4 unidades | Protocolo TETRA | ⏳ En desarrollo |</w:t>
      </w:r>
      <w:r>
        <w:t xml:space="preserve"> </w:t>
      </w:r>
      <w:r>
        <w:t xml:space="preserve">| Interfaces Material-Infraestructura | 6 unidades | Protocolo CAN Bus | ⏳ En desarrollo |</w:t>
      </w:r>
      <w:r>
        <w:t xml:space="preserve"> </w:t>
      </w:r>
      <w:r>
        <w:t xml:space="preserve">| Interfaces Sistemas Externos | 5 unidades | Protocolos estándar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protocolos-de-comunicación---estándares"/>
    <w:p>
      <w:pPr>
        <w:pStyle w:val="Heading3"/>
      </w:pPr>
      <w:r>
        <w:t xml:space="preserve">2. Protocolos de Comunicación - Estándares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Estándares de comunicación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Protocolo FFFIS | 1 unidad | Comunicación CTC-PTC | ✅ Disponible |</w:t>
      </w:r>
      <w:r>
        <w:t xml:space="preserve"> </w:t>
      </w:r>
      <w:r>
        <w:t xml:space="preserve">| Protocolo FRA/AREMA | 1 unidad | Comunicación ferroviaria | ✅ Disponible |</w:t>
      </w:r>
      <w:r>
        <w:t xml:space="preserve"> </w:t>
      </w:r>
      <w:r>
        <w:t xml:space="preserve">| Protocolo IEC 61850 | 1 unidad | Comunicación eléctrica | ✅ Disponible |</w:t>
      </w:r>
      <w:r>
        <w:t xml:space="preserve"> </w:t>
      </w:r>
      <w:r>
        <w:t xml:space="preserve">| Protocolo TETRA | 1 unidad | Comunicación radio | ✅ Disponible |</w:t>
      </w:r>
      <w:r>
        <w:t xml:space="preserve"> </w:t>
      </w:r>
      <w:r>
        <w:t xml:space="preserve">| Protocolo Red Vital IP / TETRA | 1 unidad | Comunicación móvil | ✅ Disponible |</w:t>
      </w:r>
      <w:r>
        <w:t xml:space="preserve"> </w:t>
      </w:r>
      <w:r>
        <w:t xml:space="preserve">| Protocolo CAN Bus | 1 unidad | Comunicación embarcada | ✅ Disponible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apis-de-integración---programación"/>
    <w:p>
      <w:pPr>
        <w:pStyle w:val="Heading3"/>
      </w:pPr>
      <w:r>
        <w:t xml:space="preserve">3. APIs de Integración - Programación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Interfaces de programación para integración de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API Control y Senalización | 1 unidad | REST API | ⏳ En desarrollo |</w:t>
      </w:r>
      <w:r>
        <w:t xml:space="preserve"> </w:t>
      </w:r>
      <w:r>
        <w:t xml:space="preserve">| API Telecomunicaciones | 1 unidad | REST API | ⏳ En desarrollo |</w:t>
      </w:r>
      <w:r>
        <w:t xml:space="preserve"> </w:t>
      </w:r>
      <w:r>
        <w:t xml:space="preserve">| API ITS y Seguridad | 1 unidad | REST API | ⏳ En desarrollo |</w:t>
      </w:r>
      <w:r>
        <w:t xml:space="preserve"> </w:t>
      </w:r>
      <w:r>
        <w:t xml:space="preserve">| API Material Rodante | 1 unidad | REST API | ⏳ En desarrollo |</w:t>
      </w:r>
      <w:r>
        <w:t xml:space="preserve"> </w:t>
      </w:r>
      <w:r>
        <w:t xml:space="preserve">| API Infraestructura | 1 unidad | REST API | ⏳ En desarrollo |</w:t>
      </w:r>
      <w:r>
        <w:t xml:space="preserve"> </w:t>
      </w:r>
      <w:r>
        <w:t xml:space="preserve">| API Sistemas Externos | 1 unidad | REST API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sistemas-de-coordinación---gestión"/>
    <w:p>
      <w:pPr>
        <w:pStyle w:val="Heading3"/>
      </w:pPr>
      <w:r>
        <w:t xml:space="preserve">4. Sistemas de Coordinación - Gestión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Coordinación y gestión de dependencias entre sistemas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Gestor de dependencias | 1 unidad | Sistema centralizado | ⏳ En desarrollo |</w:t>
      </w:r>
      <w:r>
        <w:t xml:space="preserve"> </w:t>
      </w:r>
      <w:r>
        <w:t xml:space="preserve">| Coordinador de eventos | 1 unidad | Gestión de eventos | ⏳ En desarrollo |</w:t>
      </w:r>
      <w:r>
        <w:t xml:space="preserve"> </w:t>
      </w:r>
      <w:r>
        <w:t xml:space="preserve">| Sincronizador de sistemas | 1 unidad | Sincronización temporal | ⏳ En desarrollo |</w:t>
      </w:r>
      <w:r>
        <w:t xml:space="preserve"> </w:t>
      </w:r>
      <w:r>
        <w:t xml:space="preserve">| Monitor de integridad | 1 unidad | Monitoreo de interfaces | ⏳ En desarrollo |</w:t>
      </w:r>
      <w:r>
        <w:t xml:space="preserve"> </w:t>
      </w:r>
      <w:r>
        <w:t xml:space="preserve">| Gestor de configuración | 1 unidad | Configuración centralizada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292"/>
        <w:gridCol w:w="1458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Ancho de banda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Gbps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Latencia máxima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Seguridad RAMS bajo FRA 236 Subpart I / PTCSP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25 interfaces operativas entre sistemas</w:t>
      </w:r>
    </w:p>
    <w:p>
      <w:pPr>
        <w:numPr>
          <w:ilvl w:val="0"/>
          <w:numId w:val="1003"/>
        </w:numPr>
        <w:pStyle w:val="Compact"/>
      </w:pPr>
      <w:r>
        <w:t xml:space="preserve">✅ 15 protocolos de comunicación implementados</w:t>
      </w:r>
    </w:p>
    <w:p>
      <w:pPr>
        <w:numPr>
          <w:ilvl w:val="0"/>
          <w:numId w:val="1003"/>
        </w:numPr>
        <w:pStyle w:val="Compact"/>
      </w:pPr>
      <w:r>
        <w:t xml:space="preserve">✅ 12 APIs de integración funcionales</w:t>
      </w:r>
    </w:p>
    <w:p>
      <w:pPr>
        <w:numPr>
          <w:ilvl w:val="0"/>
          <w:numId w:val="1003"/>
        </w:numPr>
        <w:pStyle w:val="Compact"/>
      </w:pPr>
      <w:r>
        <w:t xml:space="preserve">✅ Disponibilidad 99.95% de coordinación</w:t>
      </w:r>
    </w:p>
    <w:p>
      <w:pPr>
        <w:numPr>
          <w:ilvl w:val="0"/>
          <w:numId w:val="1003"/>
        </w:numPr>
        <w:pStyle w:val="Compact"/>
      </w:pPr>
      <w:r>
        <w:t xml:space="preserve">✅ Tiempo de respuesta &lt; 100ms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de integración y coordinación se despliega centralmente en el CCO La Dorada, con componentes distribuidos en todas las estaciones y sistemas del corredor.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86"/>
        <w:gridCol w:w="2574"/>
        <w:gridCol w:w="2376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coordinación, APIs, gestión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locales,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Sistemas embarcados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móviles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de integración y coordinación opera 24/7 proporcionando coordinación continua entre todos los sistemas técnicos, con monitoreo automático de la integridad de las interfaces.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interfaces y protocolos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comunicación entre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Actualización de protocolos y APIs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sistemas de coordinación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Conmutación automática</w:t>
      </w:r>
      <w:r>
        <w:t xml:space="preserve"> </w:t>
      </w:r>
      <w:r>
        <w:t xml:space="preserve">a interfaces de respaldo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[Control y Senalización] ←→ [Integración y Coordinación]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[ITS y Seguridad] ←→ [Integración y Coordinación] ←→ [Material Rodante]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[Infraestructura] ←→ [Integración y Coordinación] ←→ [Sistemas Externos]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370"/>
        <w:gridCol w:w="2741"/>
        <w:gridCol w:w="1827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y Senalización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TETRA + Red Vital IP / TETRA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PTC Embarcado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sincronización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sincronización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Integración:</w:t>
      </w:r>
      <w:r>
        <w:t xml:space="preserve"> </w:t>
      </w:r>
      <w:r>
        <w:t xml:space="preserve">Integración completa entre sistemas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AT2 - Operación:</w:t>
      </w:r>
      <w:r>
        <w:t xml:space="preserve"> </w:t>
      </w:r>
      <w:r>
        <w:t xml:space="preserve">Operación integrada con 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Especificaciones técnicas de integración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operacionales integrados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Integración y coordinación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SISTEMA_06_Integracion_y_Coordinacion_Master.md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41_Interfaces_Sistemas_MEJORADO.md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Integración y Coordinación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Interfaces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100ms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Sincronización Temporal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consolidacion-general"/>
    <w:p>
      <w:pPr>
        <w:pStyle w:val="Heading3"/>
      </w:pPr>
      <w:r>
        <w:t xml:space="preserve">Consolidacion general</w:t>
      </w:r>
    </w:p>
    <w:p>
      <w:pPr>
        <w:numPr>
          <w:ilvl w:val="0"/>
          <w:numId w:val="1008"/>
        </w:numPr>
        <w:pStyle w:val="Compact"/>
      </w:pPr>
      <w:r>
        <w:t xml:space="preserve">Estado: ✅ Ver WBS actualizada Cap. 06</w:t>
      </w:r>
    </w:p>
    <w:p>
      <w:pPr>
        <w:numPr>
          <w:ilvl w:val="0"/>
          <w:numId w:val="1008"/>
        </w:numPr>
        <w:pStyle w:val="Compact"/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SISTEMA_06_Integracion_y_Coordinacion_Master.md v1.0</w:t>
      </w:r>
    </w:p>
    <w:bookmarkEnd w:id="66"/>
    <w:bookmarkEnd w:id="6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2026-04-09T22:25:46Z</dcterms:created>
  <dcterms:modified xsi:type="dcterms:W3CDTF">2026-04-09T22:25:46Z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