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sostenibilidad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Cs/>
          <w:b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Caldas</w:t>
      </w:r>
      <w:r>
        <w:t xml:space="preserve"> </w:t>
      </w:r>
      <w:r>
        <w:t xml:space="preserve">| 45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Santander</w:t>
      </w:r>
      <w:r>
        <w:t xml:space="preserve"> </w:t>
      </w:r>
      <w:r>
        <w:t xml:space="preserve">| 150 km | Andino | Montanas y ríos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Norte de Santander</w:t>
      </w:r>
      <w:r>
        <w:t xml:space="preserve"> </w:t>
      </w:r>
      <w:r>
        <w:t xml:space="preserve">| 100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Cs/>
          <w:b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Cs/>
          <w:b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Cs/>
          <w:b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indicadores ambientales monitoreados</w:t>
      </w:r>
    </w:p>
    <w:p>
      <w:pPr>
        <w:numPr>
          <w:ilvl w:val="0"/>
          <w:numId w:val="1003"/>
        </w:numPr>
        <w:pStyle w:val="Compact"/>
      </w:pPr>
      <w:r>
        <w:t xml:space="preserve">✅ 100% cumplimiento de licencias</w:t>
      </w:r>
    </w:p>
    <w:p>
      <w:pPr>
        <w:numPr>
          <w:ilvl w:val="0"/>
          <w:numId w:val="1003"/>
        </w:numPr>
        <w:pStyle w:val="Compact"/>
      </w:pPr>
      <w:r>
        <w:t xml:space="preserve">✅ 0 pérdida neta de biodiversidad</w:t>
      </w:r>
    </w:p>
    <w:p>
      <w:pPr>
        <w:numPr>
          <w:ilvl w:val="0"/>
          <w:numId w:val="1003"/>
        </w:numPr>
        <w:pStyle w:val="Compact"/>
      </w:pPr>
      <w:r>
        <w:t xml:space="preserve">✅ Gestión integral de residuos</w:t>
      </w:r>
    </w:p>
    <w:p>
      <w:pPr>
        <w:numPr>
          <w:ilvl w:val="0"/>
          <w:numId w:val="1003"/>
        </w:numPr>
        <w:pStyle w:val="Compact"/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2026-04-09T22:18:39Z</dcterms:created>
  <dcterms:modified xsi:type="dcterms:W3CDTF">2026-04-09T22:18:39Z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