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
          <w:bCs/>
        </w:rPr>
        <w:t xml:space="preserve">“sistema circulatorio”</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pStyle w:val="Compact"/>
        <w:numPr>
          <w:ilvl w:val="0"/>
          <w:numId w:val="1001"/>
        </w:numPr>
      </w:pPr>
      <w:r>
        <w:rPr>
          <w:b/>
          <w:bCs/>
        </w:rPr>
        <w:t xml:space="preserve">Inversión estimada:</w:t>
      </w:r>
      <w:r>
        <w:t xml:space="preserve"> </w:t>
      </w:r>
      <w:r>
        <w:t xml:space="preserve">$45,000 millones COP</w:t>
      </w:r>
    </w:p>
    <w:p>
      <w:pPr>
        <w:pStyle w:val="Compact"/>
        <w:numPr>
          <w:ilvl w:val="0"/>
          <w:numId w:val="1001"/>
        </w:numPr>
      </w:pPr>
      <w:r>
        <w:rPr>
          <w:b/>
          <w:bCs/>
        </w:rPr>
        <w:t xml:space="preserve">800 kVA alimentación principal:</w:t>
      </w:r>
      <w:r>
        <w:t xml:space="preserve"> </w:t>
      </w:r>
      <w:r>
        <w:t xml:space="preserve">Capacidad total de alimentación eléctrica</w:t>
      </w:r>
    </w:p>
    <w:p>
      <w:pPr>
        <w:pStyle w:val="Compact"/>
        <w:numPr>
          <w:ilvl w:val="0"/>
          <w:numId w:val="1001"/>
        </w:numPr>
      </w:pPr>
      <w:r>
        <w:rPr>
          <w:b/>
          <w:bCs/>
        </w:rPr>
        <w:t xml:space="preserve">480 V AC, 3 fases:</w:t>
      </w:r>
      <w:r>
        <w:t xml:space="preserve"> </w:t>
      </w:r>
      <w:r>
        <w:t xml:space="preserve">Sistema de distribución principal según RETIE</w:t>
      </w:r>
    </w:p>
    <w:p>
      <w:pPr>
        <w:pStyle w:val="Compact"/>
        <w:numPr>
          <w:ilvl w:val="0"/>
          <w:numId w:val="1001"/>
        </w:numPr>
      </w:pPr>
      <w:r>
        <w:rPr>
          <w:b/>
          <w:bCs/>
        </w:rPr>
        <w:t xml:space="preserve">400 kVA UPS:</w:t>
      </w:r>
      <w:r>
        <w:t xml:space="preserve"> </w:t>
      </w:r>
      <w:r>
        <w:t xml:space="preserve">Sistema de respaldo ininterrumpido para sistemas críticos</w:t>
      </w:r>
    </w:p>
    <w:p>
      <w:pPr>
        <w:pStyle w:val="Compact"/>
        <w:numPr>
          <w:ilvl w:val="0"/>
          <w:numId w:val="1001"/>
        </w:numPr>
      </w:pPr>
      <w:r>
        <w:rPr>
          <w:b/>
          <w:bCs/>
        </w:rPr>
        <w:t xml:space="preserve">600 kVA generador:</w:t>
      </w:r>
      <w:r>
        <w:t xml:space="preserve"> </w:t>
      </w:r>
      <w:r>
        <w:t xml:space="preserve">Respaldo diésel para emergencias</w:t>
      </w:r>
    </w:p>
    <w:p>
      <w:pPr>
        <w:pStyle w:val="Compact"/>
        <w:numPr>
          <w:ilvl w:val="0"/>
          <w:numId w:val="1001"/>
        </w:numPr>
      </w:pPr>
      <w:r>
        <w:rPr>
          <w:b/>
          <w:bCs/>
        </w:rPr>
        <w:t xml:space="preserve">99.95% disponibilidad:</w:t>
      </w:r>
      <w:r>
        <w:t xml:space="preserve"> </w:t>
      </w:r>
      <w:r>
        <w:t xml:space="preserve">Sistemas críticos según AT4</w:t>
      </w:r>
    </w:p>
    <w:p>
      <w:pPr>
        <w:pStyle w:val="Compact"/>
        <w:numPr>
          <w:ilvl w:val="0"/>
          <w:numId w:val="1001"/>
        </w:numPr>
      </w:pPr>
      <w:r>
        <w:rPr>
          <w:b/>
          <w:bCs/>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Diseño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16ad1bf8fd3c72f4f9f37ec0fde01a31e7fb65a"/>
    <w:p>
      <w:pPr>
        <w:pStyle w:val="Heading2"/>
      </w:pPr>
      <w:r>
        <w:t xml:space="preserve">🔍 CRITERIOS DE DISEÑO Y JUSTIFICACIONES TÉCNICAS</w:t>
      </w:r>
    </w:p>
    <w:bookmarkStart w:id="25" w:name="X5245aec84959427b1f5eb3a7cd3404ffcc4efdf"/>
    <w:p>
      <w:pPr>
        <w:pStyle w:val="Heading3"/>
      </w:pPr>
      <w:r>
        <w:t xml:space="preserve">¿Por qué 800 kVA de alimentación principal?</w:t>
      </w:r>
    </w:p>
    <w:p>
      <w:pPr>
        <w:pStyle w:val="FirstParagraph"/>
      </w:pPr>
      <w:r>
        <w:rPr>
          <w:b/>
          <w:bCs/>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
          <w:bCs/>
        </w:rPr>
        <w:t xml:space="preserve">CTC</w:t>
      </w:r>
      <w:r>
        <w:t xml:space="preserve"> </w:t>
      </w:r>
      <w:r>
        <w:t xml:space="preserve">| 50 kVA | Centro de control operacional |</w:t>
      </w:r>
      <w:r>
        <w:t xml:space="preserve"> </w:t>
      </w:r>
      <w:r>
        <w:t xml:space="preserve">|</w:t>
      </w:r>
      <w:r>
        <w:t xml:space="preserve"> </w:t>
      </w:r>
      <w:r>
        <w:rPr>
          <w:b/>
          <w:bCs/>
        </w:rPr>
        <w:t xml:space="preserve">ATP Embarcado</w:t>
      </w:r>
      <w:r>
        <w:t xml:space="preserve"> </w:t>
      </w:r>
      <w:r>
        <w:t xml:space="preserve">| 30 kVA | 15 locomotoras × 2 kVA c/u |</w:t>
      </w:r>
      <w:r>
        <w:t xml:space="preserve"> </w:t>
      </w:r>
      <w:r>
        <w:t xml:space="preserve">|</w:t>
      </w:r>
      <w:r>
        <w:t xml:space="preserve"> </w:t>
      </w:r>
      <w:r>
        <w:rPr>
          <w:b/>
          <w:bCs/>
        </w:rPr>
        <w:t xml:space="preserve">ENCE</w:t>
      </w:r>
      <w:r>
        <w:t xml:space="preserve"> </w:t>
      </w:r>
      <w:r>
        <w:t xml:space="preserve">| 25 kVA | 5 estaciones × 5 kVA c/u |</w:t>
      </w:r>
      <w:r>
        <w:t xml:space="preserve"> </w:t>
      </w:r>
      <w:r>
        <w:t xml:space="preserve">|</w:t>
      </w:r>
      <w:r>
        <w:t xml:space="preserve"> </w:t>
      </w:r>
      <w:r>
        <w:rPr>
          <w:b/>
          <w:bCs/>
        </w:rPr>
        <w:t xml:space="preserve">Telecomunicaciones</w:t>
      </w:r>
      <w:r>
        <w:t xml:space="preserve"> </w:t>
      </w:r>
      <w:r>
        <w:t xml:space="preserve">| 296 kVA | 37 estaciones × 8 kVA c/u |</w:t>
      </w:r>
      <w:r>
        <w:t xml:space="preserve"> </w:t>
      </w:r>
      <w:r>
        <w:t xml:space="preserve">|</w:t>
      </w:r>
      <w:r>
        <w:t xml:space="preserve"> </w:t>
      </w:r>
      <w:r>
        <w:rPr>
          <w:b/>
          <w:bCs/>
        </w:rPr>
        <w:t xml:space="preserve">ITS y Seguridad</w:t>
      </w:r>
      <w:r>
        <w:t xml:space="preserve"> </w:t>
      </w:r>
      <w:r>
        <w:t xml:space="preserve">| 150 kVA | CCTV, sistemas de seguridad |</w:t>
      </w:r>
      <w:r>
        <w:t xml:space="preserve"> </w:t>
      </w:r>
      <w:r>
        <w:t xml:space="preserve">|</w:t>
      </w:r>
      <w:r>
        <w:t xml:space="preserve"> </w:t>
      </w:r>
      <w:r>
        <w:rPr>
          <w:b/>
          <w:bCs/>
        </w:rPr>
        <w:t xml:space="preserve">Iluminación y servicios</w:t>
      </w:r>
      <w:r>
        <w:t xml:space="preserve"> </w:t>
      </w:r>
      <w:r>
        <w:t xml:space="preserve">| 249 kVA | Edificaciones y servicios |</w:t>
      </w:r>
      <w:r>
        <w:t xml:space="preserve"> </w:t>
      </w:r>
      <w:r>
        <w:t xml:space="preserve">|</w:t>
      </w:r>
      <w:r>
        <w:t xml:space="preserve"> </w:t>
      </w:r>
      <w:r>
        <w:rPr>
          <w:b/>
          <w:bCs/>
        </w:rPr>
        <w:t xml:space="preserve">Factor de seguridad</w:t>
      </w:r>
      <w:r>
        <w:t xml:space="preserve"> </w:t>
      </w:r>
      <w:r>
        <w:t xml:space="preserve">| +20% | Crecimiento futuro |</w:t>
      </w:r>
      <w:r>
        <w:t xml:space="preserve"> </w:t>
      </w:r>
      <w:r>
        <w:t xml:space="preserve">|</w:t>
      </w:r>
      <w:r>
        <w:t xml:space="preserve"> </w:t>
      </w:r>
      <w:r>
        <w:rPr>
          <w:b/>
          <w:bCs/>
        </w:rPr>
        <w:t xml:space="preserve">TOTAL</w:t>
      </w:r>
      <w:r>
        <w:t xml:space="preserve"> </w:t>
      </w:r>
      <w:r>
        <w:t xml:space="preserve">|</w:t>
      </w:r>
      <w:r>
        <w:t xml:space="preserve"> </w:t>
      </w:r>
      <w:r>
        <w:rPr>
          <w:b/>
          <w:bCs/>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
          <w:bCs/>
        </w:rPr>
        <w:t xml:space="preserve">Justificación Técnica:</w:t>
      </w:r>
      <w:r>
        <w:t xml:space="preserve"> </w:t>
      </w:r>
      <w:r>
        <w:t xml:space="preserve">-</w:t>
      </w:r>
      <w:r>
        <w:t xml:space="preserve"> </w:t>
      </w:r>
      <w:r>
        <w:rPr>
          <w:b/>
          <w:bCs/>
        </w:rPr>
        <w:t xml:space="preserve">480 V AC:</w:t>
      </w:r>
      <w:r>
        <w:t xml:space="preserve"> </w:t>
      </w:r>
      <w:r>
        <w:t xml:space="preserve">Tensión estándar industrial según RETIE</w:t>
      </w:r>
      <w:r>
        <w:t xml:space="preserve"> </w:t>
      </w:r>
      <w:r>
        <w:t xml:space="preserve">-</w:t>
      </w:r>
      <w:r>
        <w:t xml:space="preserve"> </w:t>
      </w:r>
      <w:r>
        <w:rPr>
          <w:b/>
          <w:bCs/>
        </w:rPr>
        <w:t xml:space="preserve">3 fases:</w:t>
      </w:r>
      <w:r>
        <w:t xml:space="preserve"> </w:t>
      </w:r>
      <w:r>
        <w:t xml:space="preserve">Distribución equilibrada de cargas</w:t>
      </w:r>
      <w:r>
        <w:t xml:space="preserve"> </w:t>
      </w:r>
      <w:r>
        <w:t xml:space="preserve">-</w:t>
      </w:r>
      <w:r>
        <w:t xml:space="preserve"> </w:t>
      </w:r>
      <w:r>
        <w:rPr>
          <w:b/>
          <w:bCs/>
        </w:rPr>
        <w:t xml:space="preserve">4 hilos:</w:t>
      </w:r>
      <w:r>
        <w:t xml:space="preserve"> </w:t>
      </w:r>
      <w:r>
        <w:t xml:space="preserve">Neutro para cargas monofásicas</w:t>
      </w:r>
      <w:r>
        <w:t xml:space="preserve"> </w:t>
      </w:r>
      <w:r>
        <w:t xml:space="preserve">-</w:t>
      </w:r>
      <w:r>
        <w:t xml:space="preserve"> </w:t>
      </w:r>
      <w:r>
        <w:rPr>
          <w:b/>
          <w:bCs/>
        </w:rPr>
        <w:t xml:space="preserve">Frecuencia 60 Hz:</w:t>
      </w:r>
      <w:r>
        <w:t xml:space="preserve"> </w:t>
      </w:r>
      <w:r>
        <w:t xml:space="preserve">Estándar colombiano</w:t>
      </w:r>
      <w:r>
        <w:t xml:space="preserve"> </w:t>
      </w:r>
      <w:r>
        <w:t xml:space="preserve">-</w:t>
      </w:r>
      <w:r>
        <w:t xml:space="preserve"> </w:t>
      </w:r>
      <w:r>
        <w:rPr>
          <w:b/>
          <w:bCs/>
        </w:rPr>
        <w:t xml:space="preserve">Factor de potencia &gt; 0.95:</w:t>
      </w:r>
      <w:r>
        <w:t xml:space="preserve"> </w:t>
      </w:r>
      <w:r>
        <w:t xml:space="preserve">Eficiencia energética</w:t>
      </w:r>
      <w:r>
        <w:t xml:space="preserve"> </w:t>
      </w:r>
      <w:r>
        <w:t xml:space="preserve">-</w:t>
      </w:r>
      <w:r>
        <w:t xml:space="preserve"> </w:t>
      </w:r>
      <w:r>
        <w:rPr>
          <w:b/>
          <w:bCs/>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
          <w:bCs/>
        </w:rPr>
        <w:t xml:space="preserve">Justificación de Respaldo:</w:t>
      </w:r>
      <w:r>
        <w:t xml:space="preserve"> </w:t>
      </w:r>
      <w:r>
        <w:t xml:space="preserve">-</w:t>
      </w:r>
      <w:r>
        <w:t xml:space="preserve"> </w:t>
      </w:r>
      <w:r>
        <w:rPr>
          <w:b/>
          <w:bCs/>
        </w:rPr>
        <w:t xml:space="preserve">UPS 400 kVA:</w:t>
      </w:r>
      <w:r>
        <w:t xml:space="preserve"> </w:t>
      </w:r>
      <w:r>
        <w:t xml:space="preserve">Respaldo inmediato para sistemas críticos (2 horas)</w:t>
      </w:r>
      <w:r>
        <w:t xml:space="preserve"> </w:t>
      </w:r>
      <w:r>
        <w:t xml:space="preserve">-</w:t>
      </w:r>
      <w:r>
        <w:t xml:space="preserve"> </w:t>
      </w:r>
      <w:r>
        <w:rPr>
          <w:b/>
          <w:bCs/>
        </w:rPr>
        <w:t xml:space="preserve">Generador 600 kVA:</w:t>
      </w:r>
      <w:r>
        <w:t xml:space="preserve"> </w:t>
      </w:r>
      <w:r>
        <w:t xml:space="preserve">Respaldo de largo plazo para emergencias</w:t>
      </w:r>
      <w:r>
        <w:t xml:space="preserve"> </w:t>
      </w:r>
      <w:r>
        <w:t xml:space="preserve">-</w:t>
      </w:r>
      <w:r>
        <w:t xml:space="preserve"> </w:t>
      </w:r>
      <w:r>
        <w:rPr>
          <w:b/>
          <w:bCs/>
        </w:rPr>
        <w:t xml:space="preserve">Baterías 200 kVA:</w:t>
      </w:r>
      <w:r>
        <w:t xml:space="preserve"> </w:t>
      </w:r>
      <w:r>
        <w:t xml:space="preserve">Respaldo intermedio entre UPS y generador</w:t>
      </w:r>
      <w:r>
        <w:t xml:space="preserve"> </w:t>
      </w:r>
      <w:r>
        <w:t xml:space="preserve">-</w:t>
      </w:r>
      <w:r>
        <w:t xml:space="preserve"> </w:t>
      </w:r>
      <w:r>
        <w:rPr>
          <w:b/>
          <w:bCs/>
        </w:rPr>
        <w:t xml:space="preserve">Tiempo de transferencia:</w:t>
      </w:r>
      <w:r>
        <w:t xml:space="preserve"> </w:t>
      </w:r>
      <w:r>
        <w:t xml:space="preserve">&lt; 10 segundos para sistemas críticos</w:t>
      </w:r>
      <w:r>
        <w:t xml:space="preserve"> </w:t>
      </w:r>
      <w:r>
        <w:t xml:space="preserve">-</w:t>
      </w:r>
      <w:r>
        <w:t xml:space="preserve"> </w:t>
      </w:r>
      <w:r>
        <w:rPr>
          <w:b/>
          <w:bCs/>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
          <w:bCs/>
        </w:rPr>
        <w:t xml:space="preserve">Justificación Contractual (AT4):</w:t>
      </w:r>
      <w:r>
        <w:t xml:space="preserve"> </w:t>
      </w:r>
      <w:r>
        <w:t xml:space="preserve">-</w:t>
      </w:r>
      <w:r>
        <w:t xml:space="preserve"> </w:t>
      </w:r>
      <w:r>
        <w:rPr>
          <w:b/>
          <w:bCs/>
        </w:rPr>
        <w:t xml:space="preserve">Sistemas críticos:</w:t>
      </w:r>
      <w:r>
        <w:t xml:space="preserve"> </w:t>
      </w:r>
      <w:r>
        <w:t xml:space="preserve">CTC, ATP, ENCE requieren alta disponibilidad</w:t>
      </w:r>
      <w:r>
        <w:t xml:space="preserve"> </w:t>
      </w:r>
      <w:r>
        <w:t xml:space="preserve">-</w:t>
      </w:r>
      <w:r>
        <w:t xml:space="preserve"> </w:t>
      </w:r>
      <w:r>
        <w:rPr>
          <w:b/>
          <w:bCs/>
        </w:rPr>
        <w:t xml:space="preserve">Redundancia N+1:</w:t>
      </w:r>
      <w:r>
        <w:t xml:space="preserve"> </w:t>
      </w:r>
      <w:r>
        <w:t xml:space="preserve">Sistemas de respaldo automático</w:t>
      </w:r>
      <w:r>
        <w:t xml:space="preserve"> </w:t>
      </w:r>
      <w:r>
        <w:t xml:space="preserve">-</w:t>
      </w:r>
      <w:r>
        <w:t xml:space="preserve"> </w:t>
      </w:r>
      <w:r>
        <w:rPr>
          <w:b/>
          <w:bCs/>
        </w:rPr>
        <w:t xml:space="preserve">Mantenimiento preventivo:</w:t>
      </w:r>
      <w:r>
        <w:t xml:space="preserve"> </w:t>
      </w:r>
      <w:r>
        <w:t xml:space="preserve">Programación sin afectar operación</w:t>
      </w:r>
      <w:r>
        <w:t xml:space="preserve"> </w:t>
      </w:r>
      <w:r>
        <w:t xml:space="preserve">-</w:t>
      </w:r>
      <w:r>
        <w:t xml:space="preserve"> </w:t>
      </w:r>
      <w:r>
        <w:rPr>
          <w:b/>
          <w:bCs/>
        </w:rPr>
        <w:t xml:space="preserve">Tiempo de recuperación:</w:t>
      </w:r>
      <w:r>
        <w:t xml:space="preserve"> </w:t>
      </w:r>
      <w:r>
        <w:t xml:space="preserve">&lt; 5 minutos para sistemas críticos</w:t>
      </w:r>
      <w:r>
        <w:t xml:space="preserve"> </w:t>
      </w:r>
      <w:r>
        <w:t xml:space="preserve">-</w:t>
      </w:r>
      <w:r>
        <w:t xml:space="preserve"> </w:t>
      </w:r>
      <w:r>
        <w:rPr>
          <w:b/>
          <w:bCs/>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
          <w:bCs/>
        </w:rPr>
        <w:t xml:space="preserve">Justificación Ambiental (AT6):</w:t>
      </w:r>
      <w:r>
        <w:t xml:space="preserve"> </w:t>
      </w:r>
      <w:r>
        <w:t xml:space="preserve">-</w:t>
      </w:r>
      <w:r>
        <w:t xml:space="preserve"> </w:t>
      </w:r>
      <w:r>
        <w:rPr>
          <w:b/>
          <w:bCs/>
        </w:rPr>
        <w:t xml:space="preserve">Factor de potencia &gt; 0.95:</w:t>
      </w:r>
      <w:r>
        <w:t xml:space="preserve"> </w:t>
      </w:r>
      <w:r>
        <w:t xml:space="preserve">Reducción de pérdidas reactivas</w:t>
      </w:r>
      <w:r>
        <w:t xml:space="preserve"> </w:t>
      </w:r>
      <w:r>
        <w:t xml:space="preserve">-</w:t>
      </w:r>
      <w:r>
        <w:t xml:space="preserve"> </w:t>
      </w:r>
      <w:r>
        <w:rPr>
          <w:b/>
          <w:bCs/>
        </w:rPr>
        <w:t xml:space="preserve">THD &lt; 5%:</w:t>
      </w:r>
      <w:r>
        <w:t xml:space="preserve"> </w:t>
      </w:r>
      <w:r>
        <w:t xml:space="preserve">Calidad de energía para equipos electrónicos</w:t>
      </w:r>
      <w:r>
        <w:t xml:space="preserve"> </w:t>
      </w:r>
      <w:r>
        <w:t xml:space="preserve">-</w:t>
      </w:r>
      <w:r>
        <w:t xml:space="preserve"> </w:t>
      </w:r>
      <w:r>
        <w:rPr>
          <w:b/>
          <w:bCs/>
        </w:rPr>
        <w:t xml:space="preserve">Iluminación LED:</w:t>
      </w:r>
      <w:r>
        <w:t xml:space="preserve"> </w:t>
      </w:r>
      <w:r>
        <w:t xml:space="preserve">Eficiencia energética en edificaciones</w:t>
      </w:r>
      <w:r>
        <w:t xml:space="preserve"> </w:t>
      </w:r>
      <w:r>
        <w:t xml:space="preserve">-</w:t>
      </w:r>
      <w:r>
        <w:t xml:space="preserve"> </w:t>
      </w:r>
      <w:r>
        <w:rPr>
          <w:b/>
          <w:bCs/>
        </w:rPr>
        <w:t xml:space="preserve">Sistemas de control:</w:t>
      </w:r>
      <w:r>
        <w:t xml:space="preserve"> </w:t>
      </w:r>
      <w:r>
        <w:t xml:space="preserve">Optimización automática de cargas</w:t>
      </w:r>
      <w:r>
        <w:t xml:space="preserve"> </w:t>
      </w:r>
      <w:r>
        <w:t xml:space="preserve">-</w:t>
      </w:r>
      <w:r>
        <w:t xml:space="preserve"> </w:t>
      </w:r>
      <w:r>
        <w:rPr>
          <w:b/>
          <w:bCs/>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
          <w:bCs/>
        </w:rPr>
        <w:t xml:space="preserve">energía eléctrica</w:t>
      </w:r>
      <w:r>
        <w:t xml:space="preserve"> </w:t>
      </w:r>
      <w:r>
        <w:t xml:space="preserve">para todos los sistemas:</w:t>
      </w:r>
      <w:r>
        <w:t xml:space="preserve"> </w:t>
      </w:r>
      <w:r>
        <w:t xml:space="preserve">-</w:t>
      </w:r>
      <w:r>
        <w:t xml:space="preserve"> </w:t>
      </w:r>
      <w:r>
        <w:rPr>
          <w:b/>
          <w:bCs/>
        </w:rPr>
        <w:t xml:space="preserve">Alimentación principal:</w:t>
      </w:r>
      <w:r>
        <w:t xml:space="preserve"> </w:t>
      </w:r>
      <w:r>
        <w:t xml:space="preserve">Energía para sistemas críticos</w:t>
      </w:r>
      <w:r>
        <w:t xml:space="preserve"> </w:t>
      </w:r>
      <w:r>
        <w:t xml:space="preserve">-</w:t>
      </w:r>
      <w:r>
        <w:t xml:space="preserve"> </w:t>
      </w:r>
      <w:r>
        <w:rPr>
          <w:b/>
          <w:bCs/>
        </w:rPr>
        <w:t xml:space="preserve">Sistemas de respaldo:</w:t>
      </w:r>
      <w:r>
        <w:t xml:space="preserve"> </w:t>
      </w:r>
      <w:r>
        <w:t xml:space="preserve">UPS, generador, baterías</w:t>
      </w:r>
      <w:r>
        <w:t xml:space="preserve"> </w:t>
      </w:r>
      <w:r>
        <w:t xml:space="preserve">-</w:t>
      </w:r>
      <w:r>
        <w:t xml:space="preserve"> </w:t>
      </w:r>
      <w:r>
        <w:rPr>
          <w:b/>
          <w:bCs/>
        </w:rPr>
        <w:t xml:space="preserve">Distribución:</w:t>
      </w:r>
      <w:r>
        <w:t xml:space="preserve"> </w:t>
      </w:r>
      <w:r>
        <w:t xml:space="preserve">Red eléctrica para edificaciones</w:t>
      </w:r>
      <w:r>
        <w:t xml:space="preserve"> </w:t>
      </w:r>
      <w:r>
        <w:t xml:space="preserve">-</w:t>
      </w:r>
      <w:r>
        <w:t xml:space="preserve"> </w:t>
      </w:r>
      <w:r>
        <w:rPr>
          <w:b/>
          <w:bCs/>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pStyle w:val="Compact"/>
        <w:numPr>
          <w:ilvl w:val="0"/>
          <w:numId w:val="1002"/>
        </w:numPr>
      </w:pPr>
      <w:r>
        <w:rPr>
          <w:b/>
          <w:bCs/>
        </w:rPr>
        <w:t xml:space="preserve">Energía crítica:</w:t>
      </w:r>
      <w:r>
        <w:t xml:space="preserve"> </w:t>
      </w:r>
      <w:r>
        <w:t xml:space="preserve">Sin energía no funcionan los sistemas</w:t>
      </w:r>
    </w:p>
    <w:p>
      <w:pPr>
        <w:pStyle w:val="Compact"/>
        <w:numPr>
          <w:ilvl w:val="0"/>
          <w:numId w:val="1002"/>
        </w:numPr>
      </w:pPr>
      <w:r>
        <w:rPr>
          <w:b/>
          <w:bCs/>
        </w:rPr>
        <w:t xml:space="preserve">Disponibilidad:</w:t>
      </w:r>
      <w:r>
        <w:t xml:space="preserve"> </w:t>
      </w:r>
      <w:r>
        <w:t xml:space="preserve">Sistemas críticos requieren alta disponibilidad</w:t>
      </w:r>
    </w:p>
    <w:p>
      <w:pPr>
        <w:pStyle w:val="Compact"/>
        <w:numPr>
          <w:ilvl w:val="0"/>
          <w:numId w:val="1002"/>
        </w:numPr>
      </w:pPr>
      <w:r>
        <w:rPr>
          <w:b/>
          <w:bCs/>
        </w:rPr>
        <w:t xml:space="preserve">Calidad:</w:t>
      </w:r>
      <w:r>
        <w:t xml:space="preserve"> </w:t>
      </w:r>
      <w:r>
        <w:t xml:space="preserve">Equipos electrónicos requieren energía de calidad</w:t>
      </w:r>
    </w:p>
    <w:p>
      <w:pPr>
        <w:pStyle w:val="Compact"/>
        <w:numPr>
          <w:ilvl w:val="0"/>
          <w:numId w:val="1002"/>
        </w:numPr>
      </w:pPr>
      <w:r>
        <w:rPr>
          <w:b/>
          <w:bCs/>
        </w:rPr>
        <w:t xml:space="preserve">Eficiencia:</w:t>
      </w:r>
      <w:r>
        <w:t xml:space="preserve"> </w:t>
      </w:r>
      <w:r>
        <w:t xml:space="preserve">Optimización del consumo energético</w:t>
      </w:r>
    </w:p>
    <w:p>
      <w:pPr>
        <w:pStyle w:val="Compact"/>
        <w:numPr>
          <w:ilvl w:val="0"/>
          <w:numId w:val="1002"/>
        </w:numPr>
      </w:pPr>
      <w:r>
        <w:rPr>
          <w:b/>
          <w:bCs/>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
          <w:bCs/>
        </w:rPr>
        <w:t xml:space="preserve">Propósito:</w:t>
      </w:r>
      <w:r>
        <w:t xml:space="preserve"> </w:t>
      </w:r>
      <w:r>
        <w:t xml:space="preserve">Energía eléctrica para todos los sistemas</w:t>
      </w:r>
    </w:p>
    <w:p>
      <w:pPr>
        <w:pStyle w:val="BodyText"/>
      </w:pPr>
      <w:r>
        <w:rPr>
          <w:b/>
          <w:bCs/>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
          <w:bCs/>
        </w:rPr>
        <w:t xml:space="preserve">Capacidad</w:t>
      </w:r>
      <w:r>
        <w:t xml:space="preserve"> </w:t>
      </w:r>
      <w:r>
        <w:t xml:space="preserve">| 800 kVA | Demanda total de sistemas |</w:t>
      </w:r>
      <w:r>
        <w:t xml:space="preserve"> </w:t>
      </w:r>
      <w:r>
        <w:t xml:space="preserve">|</w:t>
      </w:r>
      <w:r>
        <w:t xml:space="preserve"> </w:t>
      </w:r>
      <w:r>
        <w:rPr>
          <w:b/>
          <w:bCs/>
        </w:rPr>
        <w:t xml:space="preserve">Tensión</w:t>
      </w:r>
      <w:r>
        <w:t xml:space="preserve"> </w:t>
      </w:r>
      <w:r>
        <w:t xml:space="preserve">| 480 V AC | Estándar industrial RETIE |</w:t>
      </w:r>
      <w:r>
        <w:t xml:space="preserve"> </w:t>
      </w:r>
      <w:r>
        <w:t xml:space="preserve">|</w:t>
      </w:r>
      <w:r>
        <w:t xml:space="preserve"> </w:t>
      </w:r>
      <w:r>
        <w:rPr>
          <w:b/>
          <w:bCs/>
        </w:rPr>
        <w:t xml:space="preserve">Fases</w:t>
      </w:r>
      <w:r>
        <w:t xml:space="preserve"> </w:t>
      </w:r>
      <w:r>
        <w:t xml:space="preserve">| 3 fases, 4 hilos | Distribución equilibrada |</w:t>
      </w:r>
      <w:r>
        <w:t xml:space="preserve"> </w:t>
      </w:r>
      <w:r>
        <w:t xml:space="preserve">|</w:t>
      </w:r>
      <w:r>
        <w:t xml:space="preserve"> </w:t>
      </w:r>
      <w:r>
        <w:rPr>
          <w:b/>
          <w:bCs/>
        </w:rPr>
        <w:t xml:space="preserve">Frecuencia</w:t>
      </w:r>
      <w:r>
        <w:t xml:space="preserve"> </w:t>
      </w:r>
      <w:r>
        <w:t xml:space="preserve">| 60 Hz | Estándar colombiano |</w:t>
      </w:r>
      <w:r>
        <w:t xml:space="preserve"> </w:t>
      </w:r>
      <w:r>
        <w:t xml:space="preserve">|</w:t>
      </w:r>
      <w:r>
        <w:t xml:space="preserve"> </w:t>
      </w:r>
      <w:r>
        <w:rPr>
          <w:b/>
          <w:bCs/>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
          <w:bCs/>
        </w:rPr>
        <w:t xml:space="preserve">Propósito:</w:t>
      </w:r>
      <w:r>
        <w:t xml:space="preserve"> </w:t>
      </w:r>
      <w:r>
        <w:t xml:space="preserve">Continuidad de energía para sistemas críticos</w:t>
      </w:r>
    </w:p>
    <w:p>
      <w:pPr>
        <w:pStyle w:val="BodyText"/>
      </w:pPr>
      <w:r>
        <w:rPr>
          <w:b/>
          <w:bCs/>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
          <w:bCs/>
        </w:rPr>
        <w:t xml:space="preserve">UPS</w:t>
      </w:r>
      <w:r>
        <w:t xml:space="preserve"> </w:t>
      </w:r>
      <w:r>
        <w:t xml:space="preserve">| 1 unidad | 400 kVA | ⏳ En instalación |</w:t>
      </w:r>
      <w:r>
        <w:t xml:space="preserve"> </w:t>
      </w:r>
      <w:r>
        <w:t xml:space="preserve">|</w:t>
      </w:r>
      <w:r>
        <w:t xml:space="preserve"> </w:t>
      </w:r>
      <w:r>
        <w:rPr>
          <w:b/>
          <w:bCs/>
        </w:rPr>
        <w:t xml:space="preserve">Generador</w:t>
      </w:r>
      <w:r>
        <w:t xml:space="preserve"> </w:t>
      </w:r>
      <w:r>
        <w:t xml:space="preserve">| 1 unidad | 600 kVA | ⏳ En instalación |</w:t>
      </w:r>
      <w:r>
        <w:t xml:space="preserve"> </w:t>
      </w:r>
      <w:r>
        <w:t xml:space="preserve">|</w:t>
      </w:r>
      <w:r>
        <w:t xml:space="preserve"> </w:t>
      </w:r>
      <w:r>
        <w:rPr>
          <w:b/>
          <w:bCs/>
        </w:rPr>
        <w:t xml:space="preserve">Baterías</w:t>
      </w:r>
      <w:r>
        <w:t xml:space="preserve"> </w:t>
      </w:r>
      <w:r>
        <w:t xml:space="preserve">| 1 sistema | 200 kVA | ⏳ En instalación |</w:t>
      </w:r>
      <w:r>
        <w:t xml:space="preserve"> </w:t>
      </w:r>
      <w:r>
        <w:t xml:space="preserve">|</w:t>
      </w:r>
      <w:r>
        <w:t xml:space="preserve"> </w:t>
      </w:r>
      <w:r>
        <w:rPr>
          <w:b/>
          <w:bCs/>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
          <w:bCs/>
        </w:rPr>
        <w:t xml:space="preserve">Propósito:</w:t>
      </w:r>
      <w:r>
        <w:t xml:space="preserve"> </w:t>
      </w:r>
      <w:r>
        <w:t xml:space="preserve">Red eléctrica para edificaciones</w:t>
      </w:r>
    </w:p>
    <w:p>
      <w:pPr>
        <w:pStyle w:val="BodyText"/>
      </w:pPr>
      <w:r>
        <w:rPr>
          <w:b/>
          <w:bCs/>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
          <w:bCs/>
        </w:rPr>
        <w:t xml:space="preserve">Tableros principales</w:t>
      </w:r>
      <w:r>
        <w:t xml:space="preserve"> </w:t>
      </w:r>
      <w:r>
        <w:t xml:space="preserve">| 3 unidades | CCO, talleres, estaciones | ⏳ En instalación |</w:t>
      </w:r>
      <w:r>
        <w:t xml:space="preserve"> </w:t>
      </w:r>
      <w:r>
        <w:t xml:space="preserve">|</w:t>
      </w:r>
      <w:r>
        <w:t xml:space="preserve"> </w:t>
      </w:r>
      <w:r>
        <w:rPr>
          <w:b/>
          <w:bCs/>
        </w:rPr>
        <w:t xml:space="preserve">Tableros secundarios</w:t>
      </w:r>
      <w:r>
        <w:t xml:space="preserve"> </w:t>
      </w:r>
      <w:r>
        <w:t xml:space="preserve">| 12 unidades | Edificaciones | ⏳ En instalación |</w:t>
      </w:r>
      <w:r>
        <w:t xml:space="preserve"> </w:t>
      </w:r>
      <w:r>
        <w:t xml:space="preserve">|</w:t>
      </w:r>
      <w:r>
        <w:t xml:space="preserve"> </w:t>
      </w:r>
      <w:r>
        <w:rPr>
          <w:b/>
          <w:bCs/>
        </w:rPr>
        <w:t xml:space="preserve">Cableado</w:t>
      </w:r>
      <w:r>
        <w:t xml:space="preserve"> </w:t>
      </w:r>
      <w:r>
        <w:t xml:space="preserve">| 15,000 m | Edificaciones | ⏳ En instalación |</w:t>
      </w:r>
      <w:r>
        <w:t xml:space="preserve"> </w:t>
      </w:r>
      <w:r>
        <w:t xml:space="preserve">|</w:t>
      </w:r>
      <w:r>
        <w:t xml:space="preserve"> </w:t>
      </w:r>
      <w:r>
        <w:rPr>
          <w:b/>
          <w:bCs/>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60 Hz</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pStyle w:val="Compact"/>
        <w:numPr>
          <w:ilvl w:val="0"/>
          <w:numId w:val="1003"/>
        </w:numPr>
      </w:pPr>
      <w:r>
        <w:t xml:space="preserve">✅ Alimentación 800 kVA operativa</w:t>
      </w:r>
    </w:p>
    <w:p>
      <w:pPr>
        <w:pStyle w:val="Compact"/>
        <w:numPr>
          <w:ilvl w:val="0"/>
          <w:numId w:val="1003"/>
        </w:numPr>
      </w:pPr>
      <w:r>
        <w:t xml:space="preserve">✅ UPS 400 kVA funcionando</w:t>
      </w:r>
    </w:p>
    <w:p>
      <w:pPr>
        <w:pStyle w:val="Compact"/>
        <w:numPr>
          <w:ilvl w:val="0"/>
          <w:numId w:val="1003"/>
        </w:numPr>
      </w:pPr>
      <w:r>
        <w:t xml:space="preserve">✅ Generador 600 kVA operativo</w:t>
      </w:r>
    </w:p>
    <w:p>
      <w:pPr>
        <w:pStyle w:val="Compact"/>
        <w:numPr>
          <w:ilvl w:val="0"/>
          <w:numId w:val="1003"/>
        </w:numPr>
      </w:pPr>
      <w:r>
        <w:t xml:space="preserve">✅ Factor de potencia &gt; 0.95</w:t>
      </w:r>
    </w:p>
    <w:p>
      <w:pPr>
        <w:pStyle w:val="Compact"/>
        <w:numPr>
          <w:ilvl w:val="0"/>
          <w:numId w:val="1003"/>
        </w:numPr>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ayout w:type="fixed"/>
        <w:tblLook w:firstRow="1" w:lastRow="0" w:firstColumn="0" w:lastColumn="0" w:noHBand="0" w:noVBand="0" w:val="0020"/>
      </w:tblPr>
      <w:tblGrid>
        <w:gridCol w:w="2026"/>
        <w:gridCol w:w="2394"/>
        <w:gridCol w:w="2026"/>
        <w:gridCol w:w="1473"/>
      </w:tblGrid>
      <w:tr>
        <w:trPr>
          <w:tblHeader w:val="on"/>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
                <w:bCs/>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
                <w:bCs/>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
                <w:bCs/>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
                <w:bCs/>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pStyle w:val="Compact"/>
        <w:numPr>
          <w:ilvl w:val="0"/>
          <w:numId w:val="1004"/>
        </w:numPr>
      </w:pPr>
      <w:r>
        <w:rPr>
          <w:b/>
          <w:bCs/>
        </w:rPr>
        <w:t xml:space="preserve">Diario:</w:t>
      </w:r>
      <w:r>
        <w:t xml:space="preserve"> </w:t>
      </w:r>
      <w:r>
        <w:t xml:space="preserve">Verificación de parámetros eléctricos</w:t>
      </w:r>
    </w:p>
    <w:p>
      <w:pPr>
        <w:pStyle w:val="Compact"/>
        <w:numPr>
          <w:ilvl w:val="0"/>
          <w:numId w:val="1004"/>
        </w:numPr>
      </w:pPr>
      <w:r>
        <w:rPr>
          <w:b/>
          <w:bCs/>
        </w:rPr>
        <w:t xml:space="preserve">Semanal:</w:t>
      </w:r>
      <w:r>
        <w:t xml:space="preserve"> </w:t>
      </w:r>
      <w:r>
        <w:t xml:space="preserve">Pruebas de sistemas de respaldo</w:t>
      </w:r>
    </w:p>
    <w:p>
      <w:pPr>
        <w:pStyle w:val="Compact"/>
        <w:numPr>
          <w:ilvl w:val="0"/>
          <w:numId w:val="1004"/>
        </w:numPr>
      </w:pPr>
      <w:r>
        <w:rPr>
          <w:b/>
          <w:bCs/>
        </w:rPr>
        <w:t xml:space="preserve">Mensual:</w:t>
      </w:r>
      <w:r>
        <w:t xml:space="preserve"> </w:t>
      </w:r>
      <w:r>
        <w:t xml:space="preserve">Mantenimiento de UPS y generador</w:t>
      </w:r>
    </w:p>
    <w:p>
      <w:pPr>
        <w:pStyle w:val="Compact"/>
        <w:numPr>
          <w:ilvl w:val="0"/>
          <w:numId w:val="1004"/>
        </w:numPr>
      </w:pPr>
      <w:r>
        <w:rPr>
          <w:b/>
          <w:bCs/>
        </w:rPr>
        <w:t xml:space="preserve">Trimestral:</w:t>
      </w:r>
      <w:r>
        <w:t xml:space="preserve"> </w:t>
      </w:r>
      <w:r>
        <w:t xml:space="preserve">Calibración de equipos de medición</w:t>
      </w:r>
    </w:p>
    <w:p>
      <w:pPr>
        <w:pStyle w:val="Compact"/>
        <w:numPr>
          <w:ilvl w:val="0"/>
          <w:numId w:val="1004"/>
        </w:numPr>
      </w:pPr>
      <w:r>
        <w:rPr>
          <w:b/>
          <w:bCs/>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pStyle w:val="Compact"/>
        <w:numPr>
          <w:ilvl w:val="0"/>
          <w:numId w:val="1005"/>
        </w:numPr>
      </w:pPr>
      <w:r>
        <w:rPr>
          <w:b/>
          <w:bCs/>
        </w:rPr>
        <w:t xml:space="preserve">Detección automática</w:t>
      </w:r>
      <w:r>
        <w:t xml:space="preserve"> </w:t>
      </w:r>
      <w:r>
        <w:t xml:space="preserve">de fallas eléctricas</w:t>
      </w:r>
    </w:p>
    <w:p>
      <w:pPr>
        <w:pStyle w:val="Compact"/>
        <w:numPr>
          <w:ilvl w:val="0"/>
          <w:numId w:val="1005"/>
        </w:numPr>
      </w:pPr>
      <w:r>
        <w:rPr>
          <w:b/>
          <w:bCs/>
        </w:rPr>
        <w:t xml:space="preserve">Conmutación automática</w:t>
      </w:r>
      <w:r>
        <w:t xml:space="preserve"> </w:t>
      </w:r>
      <w:r>
        <w:t xml:space="preserve">a sistemas de respaldo</w:t>
      </w:r>
    </w:p>
    <w:p>
      <w:pPr>
        <w:pStyle w:val="Compact"/>
        <w:numPr>
          <w:ilvl w:val="0"/>
          <w:numId w:val="1005"/>
        </w:numPr>
      </w:pPr>
      <w:r>
        <w:rPr>
          <w:b/>
          <w:bCs/>
        </w:rPr>
        <w:t xml:space="preserve">Notificación inmediata</w:t>
      </w:r>
      <w:r>
        <w:t xml:space="preserve"> </w:t>
      </w:r>
      <w:r>
        <w:t xml:space="preserve">al personal técnico</w:t>
      </w:r>
    </w:p>
    <w:p>
      <w:pPr>
        <w:pStyle w:val="Compact"/>
        <w:numPr>
          <w:ilvl w:val="0"/>
          <w:numId w:val="1005"/>
        </w:numPr>
      </w:pPr>
      <w:r>
        <w:rPr>
          <w:b/>
          <w:bCs/>
        </w:rPr>
        <w:t xml:space="preserve">Reparación</w:t>
      </w:r>
      <w:r>
        <w:t xml:space="preserve"> </w:t>
      </w:r>
      <w:r>
        <w:t xml:space="preserve">según procedimientos establecidos</w:t>
      </w:r>
    </w:p>
    <w:p>
      <w:pPr>
        <w:pStyle w:val="Compact"/>
        <w:numPr>
          <w:ilvl w:val="0"/>
          <w:numId w:val="1005"/>
        </w:numPr>
      </w:pPr>
      <w:r>
        <w:rPr>
          <w:b/>
          <w:bCs/>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ayout w:type="fixed"/>
        <w:tblLook w:firstRow="1" w:lastRow="0" w:firstColumn="0" w:lastColumn="0" w:noHBand="0" w:noVBand="0" w:val="0020"/>
      </w:tblPr>
      <w:tblGrid>
        <w:gridCol w:w="1945"/>
        <w:gridCol w:w="2501"/>
        <w:gridCol w:w="1667"/>
        <w:gridCol w:w="1806"/>
      </w:tblGrid>
      <w:tr>
        <w:trPr>
          <w:tblHeader w:val="on"/>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
                <w:bCs/>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ño"/>
    <w:p>
      <w:pPr>
        <w:pStyle w:val="Heading3"/>
      </w:pPr>
      <w:r>
        <w:t xml:space="preserve">Supuestos Críticos del Diseño</w:t>
      </w:r>
    </w:p>
    <w:tbl>
      <w:tblPr>
        <w:tblStyle w:val="Table"/>
        <w:tblW w:type="pct" w:w="5000"/>
        <w:tblLayout w:type="fixed"/>
        <w:tblLook w:firstRow="1" w:lastRow="0" w:firstColumn="0" w:lastColumn="0" w:noHBand="0" w:noVBand="0" w:val="0020"/>
      </w:tblPr>
      <w:tblGrid>
        <w:gridCol w:w="1414"/>
        <w:gridCol w:w="2121"/>
        <w:gridCol w:w="2687"/>
        <w:gridCol w:w="1697"/>
      </w:tblGrid>
      <w:tr>
        <w:trPr>
          <w:tblHeader w:val="on"/>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
                <w:bCs/>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Diseño escalable</w:t>
            </w:r>
          </w:p>
        </w:tc>
      </w:tr>
      <w:tr>
        <w:tc>
          <w:tcPr/>
          <w:p>
            <w:pPr>
              <w:pStyle w:val="Compact"/>
              <w:jc w:val="left"/>
            </w:pPr>
            <w:r>
              <w:rPr>
                <w:b/>
                <w:bCs/>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
                <w:bCs/>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
                <w:bCs/>
              </w:rPr>
              <w:t xml:space="preserve">Calidad de energía</w:t>
            </w:r>
          </w:p>
        </w:tc>
        <w:tc>
          <w:tcPr/>
          <w:p>
            <w:pPr>
              <w:pStyle w:val="Compact"/>
              <w:jc w:val="left"/>
            </w:pPr>
            <w:r>
              <w:t xml:space="preserve">THD &lt; 5%</w:t>
            </w:r>
          </w:p>
        </w:tc>
        <w:tc>
          <w:tcPr/>
          <w:p>
            <w:pPr>
              <w:pStyle w:val="Compact"/>
              <w:jc w:val="left"/>
            </w:pPr>
            <w:r>
              <w:t xml:space="preserve">Daños a equipos si aumenta</w:t>
            </w:r>
          </w:p>
        </w:tc>
        <w:tc>
          <w:tcPr/>
          <w:p>
            <w:pPr>
              <w:pStyle w:val="Compact"/>
              <w:jc w:val="left"/>
            </w:pPr>
            <w:r>
              <w:t xml:space="preserve">Filtros armónicos</w:t>
            </w:r>
          </w:p>
        </w:tc>
      </w:tr>
      <w:tr>
        <w:tc>
          <w:tcPr/>
          <w:p>
            <w:pPr>
              <w:pStyle w:val="Compact"/>
              <w:jc w:val="left"/>
            </w:pPr>
            <w:r>
              <w:rPr>
                <w:b/>
                <w:bCs/>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ño"/>
    <w:p>
      <w:pPr>
        <w:pStyle w:val="Heading3"/>
      </w:pPr>
      <w:r>
        <w:t xml:space="preserve">Limitaciones del Diseño</w:t>
      </w:r>
    </w:p>
    <w:p>
      <w:pPr>
        <w:pStyle w:val="Compact"/>
        <w:numPr>
          <w:ilvl w:val="0"/>
          <w:numId w:val="1006"/>
        </w:numPr>
      </w:pPr>
      <w:r>
        <w:rPr>
          <w:b/>
          <w:bCs/>
        </w:rPr>
        <w:t xml:space="preserve">Capacidad de red:</w:t>
      </w:r>
      <w:r>
        <w:t xml:space="preserve"> </w:t>
      </w:r>
      <w:r>
        <w:t xml:space="preserve">Limitada por suministro local</w:t>
      </w:r>
    </w:p>
    <w:p>
      <w:pPr>
        <w:pStyle w:val="Compact"/>
        <w:numPr>
          <w:ilvl w:val="0"/>
          <w:numId w:val="1006"/>
        </w:numPr>
      </w:pPr>
      <w:r>
        <w:rPr>
          <w:b/>
          <w:bCs/>
        </w:rPr>
        <w:t xml:space="preserve">Calidad de energía:</w:t>
      </w:r>
      <w:r>
        <w:t xml:space="preserve"> </w:t>
      </w:r>
      <w:r>
        <w:t xml:space="preserve">Dependiente de la red eléctrica</w:t>
      </w:r>
    </w:p>
    <w:p>
      <w:pPr>
        <w:pStyle w:val="Compact"/>
        <w:numPr>
          <w:ilvl w:val="0"/>
          <w:numId w:val="1006"/>
        </w:numPr>
      </w:pPr>
      <w:r>
        <w:rPr>
          <w:b/>
          <w:bCs/>
        </w:rPr>
        <w:t xml:space="preserve">Mantenimiento:</w:t>
      </w:r>
      <w:r>
        <w:t xml:space="preserve"> </w:t>
      </w:r>
      <w:r>
        <w:t xml:space="preserve">Requiere personal especializado</w:t>
      </w:r>
    </w:p>
    <w:p>
      <w:pPr>
        <w:pStyle w:val="Compact"/>
        <w:numPr>
          <w:ilvl w:val="0"/>
          <w:numId w:val="1006"/>
        </w:numPr>
      </w:pPr>
      <w:r>
        <w:rPr>
          <w:b/>
          <w:bCs/>
        </w:rPr>
        <w:t xml:space="preserve">Ambiental:</w:t>
      </w:r>
      <w:r>
        <w:t xml:space="preserve"> </w:t>
      </w:r>
      <w:r>
        <w:t xml:space="preserve">Generador requiere combustible</w:t>
      </w:r>
    </w:p>
    <w:p>
      <w:pPr>
        <w:pStyle w:val="Compact"/>
        <w:numPr>
          <w:ilvl w:val="0"/>
          <w:numId w:val="1006"/>
        </w:numPr>
      </w:pPr>
      <w:r>
        <w:rPr>
          <w:b/>
          <w:bCs/>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pStyle w:val="Compact"/>
        <w:numPr>
          <w:ilvl w:val="0"/>
          <w:numId w:val="1007"/>
        </w:numPr>
      </w:pPr>
      <w:r>
        <w:rPr>
          <w:b/>
          <w:bCs/>
        </w:rPr>
        <w:t xml:space="preserve">Red eléctrica local:</w:t>
      </w:r>
      <w:r>
        <w:t xml:space="preserve"> </w:t>
      </w:r>
      <w:r>
        <w:t xml:space="preserve">Suministro principal de energía</w:t>
      </w:r>
    </w:p>
    <w:p>
      <w:pPr>
        <w:pStyle w:val="Compact"/>
        <w:numPr>
          <w:ilvl w:val="0"/>
          <w:numId w:val="1007"/>
        </w:numPr>
      </w:pPr>
      <w:r>
        <w:rPr>
          <w:b/>
          <w:bCs/>
        </w:rPr>
        <w:t xml:space="preserve">Combustible:</w:t>
      </w:r>
      <w:r>
        <w:t xml:space="preserve"> </w:t>
      </w:r>
      <w:r>
        <w:t xml:space="preserve">Para generador de respaldo</w:t>
      </w:r>
    </w:p>
    <w:p>
      <w:pPr>
        <w:pStyle w:val="Compact"/>
        <w:numPr>
          <w:ilvl w:val="0"/>
          <w:numId w:val="1007"/>
        </w:numPr>
      </w:pPr>
      <w:r>
        <w:rPr>
          <w:b/>
          <w:bCs/>
        </w:rPr>
        <w:t xml:space="preserve">Personal técnico:</w:t>
      </w:r>
      <w:r>
        <w:t xml:space="preserve"> </w:t>
      </w:r>
      <w:r>
        <w:t xml:space="preserve">Mantenimiento especializado</w:t>
      </w:r>
    </w:p>
    <w:p>
      <w:pPr>
        <w:pStyle w:val="Compact"/>
        <w:numPr>
          <w:ilvl w:val="0"/>
          <w:numId w:val="1007"/>
        </w:numPr>
      </w:pPr>
      <w:r>
        <w:rPr>
          <w:b/>
          <w:bCs/>
        </w:rPr>
        <w:t xml:space="preserve">Repuestos:</w:t>
      </w:r>
      <w:r>
        <w:t xml:space="preserve"> </w:t>
      </w:r>
      <w:r>
        <w:t xml:space="preserve">Equipos eléctricos especializados</w:t>
      </w:r>
    </w:p>
    <w:p>
      <w:pPr>
        <w:pStyle w:val="Compact"/>
        <w:numPr>
          <w:ilvl w:val="0"/>
          <w:numId w:val="1007"/>
        </w:numPr>
      </w:pPr>
      <w:r>
        <w:rPr>
          <w:b/>
          <w:bCs/>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ayout w:type="fixed"/>
        <w:tblLook w:firstRow="1" w:lastRow="0" w:firstColumn="0" w:lastColumn="0" w:noHBand="0" w:noVBand="0" w:val="0020"/>
      </w:tblPr>
      <w:tblGrid>
        <w:gridCol w:w="1218"/>
        <w:gridCol w:w="2132"/>
        <w:gridCol w:w="1523"/>
        <w:gridCol w:w="1827"/>
        <w:gridCol w:w="1218"/>
      </w:tblGrid>
      <w:tr>
        <w:trPr>
          <w:tblHeader w:val="on"/>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pStyle w:val="Compact"/>
        <w:numPr>
          <w:ilvl w:val="0"/>
          <w:numId w:val="1008"/>
        </w:numPr>
      </w:pPr>
      <w:r>
        <w:t xml:space="preserve">✅</w:t>
      </w:r>
      <w:r>
        <w:t xml:space="preserve"> </w:t>
      </w:r>
      <w:r>
        <w:rPr>
          <w:b/>
          <w:bCs/>
        </w:rPr>
        <w:t xml:space="preserve">AT1 - Alcance:</w:t>
      </w:r>
      <w:r>
        <w:t xml:space="preserve"> </w:t>
      </w:r>
      <w:r>
        <w:t xml:space="preserve">Sistemas eléctricos integrales - Cumplida</w:t>
      </w:r>
    </w:p>
    <w:p>
      <w:pPr>
        <w:pStyle w:val="Compact"/>
        <w:numPr>
          <w:ilvl w:val="0"/>
          <w:numId w:val="1008"/>
        </w:numPr>
      </w:pPr>
      <w:r>
        <w:t xml:space="preserve">✅</w:t>
      </w:r>
      <w:r>
        <w:t xml:space="preserve"> </w:t>
      </w:r>
      <w:r>
        <w:rPr>
          <w:b/>
          <w:bCs/>
        </w:rPr>
        <w:t xml:space="preserve">AT2 - Operación:</w:t>
      </w:r>
      <w:r>
        <w:t xml:space="preserve"> </w:t>
      </w:r>
      <w:r>
        <w:t xml:space="preserve">Mantenimiento con disponibilidad 99.95% - Cumplida</w:t>
      </w:r>
    </w:p>
    <w:p>
      <w:pPr>
        <w:pStyle w:val="Compact"/>
        <w:numPr>
          <w:ilvl w:val="0"/>
          <w:numId w:val="1008"/>
        </w:numPr>
      </w:pPr>
      <w:r>
        <w:t xml:space="preserve">⏳</w:t>
      </w:r>
      <w:r>
        <w:t xml:space="preserve"> </w:t>
      </w:r>
      <w:r>
        <w:rPr>
          <w:b/>
          <w:bCs/>
        </w:rPr>
        <w:t xml:space="preserve">AT3 - Especificaciones:</w:t>
      </w:r>
      <w:r>
        <w:t xml:space="preserve"> </w:t>
      </w:r>
      <w:r>
        <w:t xml:space="preserve">Sistemas eléctricos según estándares - En progreso</w:t>
      </w:r>
    </w:p>
    <w:p>
      <w:pPr>
        <w:pStyle w:val="Compact"/>
        <w:numPr>
          <w:ilvl w:val="0"/>
          <w:numId w:val="1008"/>
        </w:numPr>
      </w:pPr>
      <w:r>
        <w:t xml:space="preserve">⏳</w:t>
      </w:r>
      <w:r>
        <w:t xml:space="preserve"> </w:t>
      </w:r>
      <w:r>
        <w:rPr>
          <w:b/>
          <w:bCs/>
        </w:rPr>
        <w:t xml:space="preserve">AT4 - Indicadores:</w:t>
      </w:r>
      <w:r>
        <w:t xml:space="preserve"> </w:t>
      </w:r>
      <w:r>
        <w:t xml:space="preserve">Disponibilidad sistemas críticos - En progreso</w:t>
      </w:r>
    </w:p>
    <w:p>
      <w:pPr>
        <w:pStyle w:val="Compact"/>
        <w:numPr>
          <w:ilvl w:val="0"/>
          <w:numId w:val="1008"/>
        </w:numPr>
      </w:pPr>
      <w:r>
        <w:t xml:space="preserve">⏳</w:t>
      </w:r>
      <w:r>
        <w:t xml:space="preserve"> </w:t>
      </w:r>
      <w:r>
        <w:rPr>
          <w:b/>
          <w:bCs/>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pStyle w:val="Compact"/>
        <w:numPr>
          <w:ilvl w:val="0"/>
          <w:numId w:val="1009"/>
        </w:numPr>
      </w:pPr>
      <w:r>
        <w:rPr>
          <w:b/>
          <w:bCs/>
        </w:rPr>
        <w:t xml:space="preserve">Apéndice Técnico 1:</w:t>
      </w:r>
      <w:r>
        <w:t xml:space="preserve"> </w:t>
      </w:r>
      <w:r>
        <w:t xml:space="preserve">Alcance del proyecto - Sistemas eléctricos</w:t>
      </w:r>
    </w:p>
    <w:p>
      <w:pPr>
        <w:pStyle w:val="Compact"/>
        <w:numPr>
          <w:ilvl w:val="0"/>
          <w:numId w:val="1009"/>
        </w:numPr>
      </w:pPr>
      <w:r>
        <w:rPr>
          <w:b/>
          <w:bCs/>
        </w:rPr>
        <w:t xml:space="preserve">Apéndice Técnico 2:</w:t>
      </w:r>
      <w:r>
        <w:t xml:space="preserve"> </w:t>
      </w:r>
      <w:r>
        <w:t xml:space="preserve">Operación y mantenimiento - Sistemas eléctricos</w:t>
      </w:r>
    </w:p>
    <w:p>
      <w:pPr>
        <w:pStyle w:val="Compact"/>
        <w:numPr>
          <w:ilvl w:val="0"/>
          <w:numId w:val="1009"/>
        </w:numPr>
      </w:pPr>
      <w:r>
        <w:rPr>
          <w:b/>
          <w:bCs/>
        </w:rPr>
        <w:t xml:space="preserve">Apéndice Técnico 3:</w:t>
      </w:r>
      <w:r>
        <w:t xml:space="preserve"> </w:t>
      </w:r>
      <w:r>
        <w:t xml:space="preserve">Especificaciones técnicas - Sistemas eléctricos</w:t>
      </w:r>
    </w:p>
    <w:p>
      <w:pPr>
        <w:pStyle w:val="Compact"/>
        <w:numPr>
          <w:ilvl w:val="0"/>
          <w:numId w:val="1009"/>
        </w:numPr>
      </w:pPr>
      <w:r>
        <w:rPr>
          <w:b/>
          <w:bCs/>
        </w:rPr>
        <w:t xml:space="preserve">Apéndice Técnico 4:</w:t>
      </w:r>
      <w:r>
        <w:t xml:space="preserve"> </w:t>
      </w:r>
      <w:r>
        <w:t xml:space="preserve">Indicadores de desempeño - Disponibilidad</w:t>
      </w:r>
    </w:p>
    <w:p>
      <w:pPr>
        <w:pStyle w:val="Compact"/>
        <w:numPr>
          <w:ilvl w:val="0"/>
          <w:numId w:val="1009"/>
        </w:numPr>
      </w:pPr>
      <w:r>
        <w:rPr>
          <w:b/>
          <w:bCs/>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ayout w:type="fixed"/>
        <w:tblLook w:firstRow="1" w:lastRow="0" w:firstColumn="0" w:lastColumn="0" w:noHBand="0" w:noVBand="0" w:val="0020"/>
      </w:tblPr>
      <w:tblGrid>
        <w:gridCol w:w="2354"/>
        <w:gridCol w:w="1284"/>
        <w:gridCol w:w="1926"/>
        <w:gridCol w:w="2354"/>
      </w:tblGrid>
      <w:tr>
        <w:trPr>
          <w:tblHeader w:val="on"/>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EPC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ño-kpis"/>
    <w:p>
      <w:pPr>
        <w:pStyle w:val="Heading2"/>
      </w:pPr>
      <w:r>
        <w:t xml:space="preserve">📊 INDICADORES DE DESEMPEÑO (KPIs)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pStyle w:val="Compact"/>
        <w:numPr>
          <w:ilvl w:val="0"/>
          <w:numId w:val="1010"/>
        </w:numPr>
      </w:pPr>
      <w:r>
        <w:t xml:space="preserve">Estado: ✅ Ver sistemas relacionados</w:t>
      </w:r>
    </w:p>
    <w:p>
      <w:pPr>
        <w:pStyle w:val="Compact"/>
        <w:numPr>
          <w:ilvl w:val="0"/>
          <w:numId w:val="1010"/>
        </w:numPr>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ayout w:type="fixed"/>
        <w:tblLook w:firstRow="1" w:lastRow="0" w:firstColumn="0" w:lastColumn="0" w:noHBand="0" w:noVBand="0" w:val="0020"/>
      </w:tblPr>
      <w:tblGrid>
        <w:gridCol w:w="1425"/>
        <w:gridCol w:w="1108"/>
        <w:gridCol w:w="3326"/>
        <w:gridCol w:w="2059"/>
      </w:tblGrid>
      <w:tr>
        <w:trPr>
          <w:tblHeader w:val="on"/>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EPC</w:t>
            </w:r>
          </w:p>
        </w:tc>
      </w:tr>
    </w:tbl>
    <w:p>
      <w:r>
        <w:pict>
          <v:rect style="width:0;height:1.5pt" o:hralign="center" o:hrstd="t" o:hr="t"/>
        </w:pict>
      </w:r>
    </w:p>
    <w:p>
      <w:pPr>
        <w:pStyle w:val="FirstParagraph"/>
      </w:pPr>
      <w:r>
        <w:rPr>
          <w:b/>
          <w:bCs/>
        </w:rPr>
        <w:t xml:space="preserve">Documento preparado por:</w:t>
      </w:r>
      <w:r>
        <w:t xml:space="preserve"> </w:t>
      </w:r>
      <w:r>
        <w:t xml:space="preserve">Administrador Contractual EPC</w:t>
      </w:r>
      <w:r>
        <w:br/>
      </w:r>
      <w:r>
        <w:rPr>
          <w:b/>
          <w:bCs/>
        </w:rPr>
        <w:t xml:space="preserve">Última actualización:</w:t>
      </w:r>
      <w:r>
        <w:t xml:space="preserve"> </w:t>
      </w:r>
      <w:r>
        <w:t xml:space="preserve">Enero 2025</w:t>
      </w:r>
      <w:r>
        <w:br/>
      </w:r>
      <w:r>
        <w:rPr>
          <w:b/>
          <w:bCs/>
        </w:rPr>
        <w:t xml:space="preserve">Próxima revisión:</w:t>
      </w:r>
      <w:r>
        <w:t xml:space="preserve"> </w:t>
      </w:r>
      <w:r>
        <w:t xml:space="preserve">Febrero 2025</w:t>
      </w:r>
      <w:r>
        <w:br/>
      </w:r>
      <w:r>
        <w:rPr>
          <w:b/>
          <w:bCs/>
        </w:rPr>
        <w:t xml:space="preserve">Basado en:</w:t>
      </w:r>
      <w:r>
        <w:t xml:space="preserve"> </w:t>
      </w:r>
      <w:r>
        <w:t xml:space="preserve">ESPECIALIDAD_02_Ingenieria_Electrica_Master.md v1.0</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2026-03-13T19:39:46Z</dcterms:created>
  <dcterms:modified xsi:type="dcterms:W3CDTF">2026-03-13T19:39:46Z</dcterms:modified>
</cp:coreProperties>
</file>

<file path=docProps/custom.xml><?xml version="1.0" encoding="utf-8"?>
<Properties xmlns="http://schemas.openxmlformats.org/officeDocument/2006/custom-properties" xmlns:vt="http://schemas.openxmlformats.org/officeDocument/2006/docPropsVTypes"/>
</file>