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ATP,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26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ATP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ATP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PTC/PTC VIRTUAL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UIC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25"/>
    <w:bookmarkEnd w:id="26"/>
    <w:bookmarkStart w:id="32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atp-embarcado"/>
    <w:p>
      <w:pPr>
        <w:pStyle w:val="Heading4"/>
      </w:pPr>
      <w:r>
        <w:rPr>
          <w:b/>
          <w:bCs/>
        </w:rPr>
        <w:t xml:space="preserve">1.2 Sistema ATP Embarcado</w:t>
      </w:r>
    </w:p>
    <w:bookmarkStart w:id="33" w:name="dt-atp-001-2025-10-09"/>
    <w:p>
      <w:pPr>
        <w:pStyle w:val="Heading5"/>
      </w:pPr>
      <w:r>
        <w:rPr>
          <w:b/>
          <w:bCs/>
        </w:rPr>
        <w:t xml:space="preserve">DT-ATP-001-2025-10-09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ATP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ATP PTC VIRTUAL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punto de referencia virtuals europunto de referencia virtual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ATP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PTC VIRTUAL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/>
          <w:bCs/>
        </w:rPr>
        <w:t xml:space="preserve">2.1 TETRA</w:t>
      </w:r>
    </w:p>
    <w:bookmarkStart w:id="36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42" w:name="cctv"/>
    <w:p>
      <w:pPr>
        <w:pStyle w:val="Heading4"/>
      </w:pPr>
      <w:r>
        <w:rPr>
          <w:b/>
          <w:bCs/>
        </w:rPr>
        <w:t xml:space="preserve">4.1 CCTV</w:t>
      </w:r>
    </w:p>
    <w:bookmarkStart w:id="40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47" w:name="scada"/>
    <w:p>
      <w:pPr>
        <w:pStyle w:val="Heading4"/>
      </w:pPr>
      <w:r>
        <w:rPr>
          <w:b/>
          <w:bCs/>
        </w:rPr>
        <w:t xml:space="preserve">5.3 SCADA</w:t>
      </w:r>
    </w:p>
    <w:bookmarkStart w:id="44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594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51" w:name="punto-de-referencia-virtuals"/>
    <w:p>
      <w:pPr>
        <w:pStyle w:val="Heading4"/>
      </w:pPr>
      <w:r>
        <w:rPr>
          <w:b/>
          <w:bCs/>
        </w:rPr>
        <w:t xml:space="preserve">6.1 Punto de referencia virtuals</w:t>
      </w:r>
    </w:p>
    <w:bookmarkStart w:id="49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DT-ATP-001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2026-03-13T19:39:47Z</dcterms:created>
  <dcterms:modified xsi:type="dcterms:W3CDTF">2026-03-13T19:39:47Z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