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ñalización"/>
    <w:p>
      <w:pPr>
        <w:pStyle w:val="Heading1"/>
      </w:pPr>
      <w:r>
        <w:t xml:space="preserve">SISTEMA 01: CONTROL Y SEÑALIZACIÓN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Señalización es el</w:t>
      </w:r>
      <w:r>
        <w:t xml:space="preserve"> </w:t>
      </w:r>
      <w:r>
        <w:rPr>
          <w:b/>
          <w:bCs/>
        </w:rPr>
        <w:t xml:space="preserve">“cerebro”</w:t>
      </w:r>
      <w:r>
        <w:rPr>
          <w:b/>
          <w:bCs/>
        </w:rPr>
        <w:t xml:space="preserve"> </w:t>
      </w:r>
      <w:r>
        <w:rPr>
          <w:b/>
          <w:bCs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ATP Embarcados:</w:t>
      </w:r>
      <w:r>
        <w:t xml:space="preserve"> </w:t>
      </w:r>
      <w:r>
        <w:t xml:space="preserve">PTC PTC VIRTUAL Level 2 (reducido de 15 a 8 con DT-TETRA-001)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Bloque Integración:</w:t>
      </w:r>
      <w:r>
        <w:t xml:space="preserve"> </w:t>
      </w:r>
      <w:r>
        <w:t xml:space="preserve">IF-07 agregada (DT-INTERFACES-001) para integración CTC-PTC-FENOCO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con filosofía virtual (sin señalización física)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6d5c47ab0504f0ec3e84a7dd3f21389a88ee44b"/>
    <w:p>
      <w:pPr>
        <w:pStyle w:val="Heading3"/>
      </w:pPr>
      <w:r>
        <w:t xml:space="preserve">¿Por qué Filosofía Virtual (sin señalización física)?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Física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Señalización Virtual</w:t>
      </w:r>
      <w:r>
        <w:t xml:space="preserve"> </w:t>
      </w:r>
      <w:r>
        <w:t xml:space="preserve">| Costo optimizado, mantenimiento simplificado | Requiere ATP embarcado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RBC Centralizado</w:t>
      </w:r>
      <w:r>
        <w:t xml:space="preserve"> </w:t>
      </w:r>
      <w:r>
        <w:t xml:space="preserve">| Control centralizado | No aplicable para filosofía virtual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optimizado:</w:t>
      </w:r>
      <w:r>
        <w:t xml:space="preserve"> </w:t>
      </w:r>
      <w:r>
        <w:t xml:space="preserve">Eliminación de 120 señales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 simplificado:</w:t>
      </w:r>
      <w:r>
        <w:t xml:space="preserve"> </w:t>
      </w:r>
      <w:r>
        <w:t xml:space="preserve">Sin mantenimiento de señalización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0539cd16028147b0ee556cf5a9fc91b508e8572"/>
    <w:p>
      <w:pPr>
        <w:pStyle w:val="Heading3"/>
      </w:pPr>
      <w:r>
        <w:t xml:space="preserve">¿Por qué 8 ATP Embarcados? (Actualizado con DT-TETRA-001)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unidades diseño/pruebas: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 optimizado:</w:t>
      </w:r>
      <w:r>
        <w:t xml:space="preserve"> </w:t>
      </w:r>
      <w:r>
        <w:t xml:space="preserve">8 ATP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PTC VIRTUAL Level 2:</w:t>
      </w:r>
      <w:r>
        <w:t xml:space="preserve"> </w:t>
      </w:r>
      <w:r>
        <w:t xml:space="preserve">Estándar europeo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c4e2d71fb8711953d5fcb1d130c3e3137d88581"/>
    <w:p>
      <w:pPr>
        <w:pStyle w:val="Heading3"/>
      </w:pPr>
      <w:r>
        <w:t xml:space="preserve">¿Por qué PTC VIRTUAL Level 2 (no Level 1 o Level 3)?</w:t>
      </w:r>
    </w:p>
    <w:p>
      <w:pPr>
        <w:pStyle w:val="FirstParagraph"/>
      </w:pPr>
      <w:r>
        <w:rPr>
          <w:b/>
          <w:bCs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| Punto de referencia virtuals + ATP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2</w:t>
      </w:r>
      <w:r>
        <w:t xml:space="preserve"> </w:t>
      </w:r>
      <w:r>
        <w:t xml:space="preserve">| RED TETRA (Misión Crítica) + ATP embarcado | Óptimo costo/beneficio | Requiere RED TETRA (Misión Crítica) | ✅</w:t>
      </w:r>
      <w:r>
        <w:t xml:space="preserve"> </w:t>
      </w:r>
      <w:r>
        <w:rPr>
          <w:b/>
          <w:bCs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Level 3</w:t>
      </w:r>
      <w:r>
        <w:t xml:space="preserve"> </w:t>
      </w:r>
      <w:r>
        <w:t xml:space="preserve">| Sin bloqueo fijo | Máxima capacidad | Complejidad alta | ❌ Rechazado |</w:t>
      </w:r>
    </w:p>
    <w:p>
      <w:pPr>
        <w:pStyle w:val="BodyText"/>
      </w:pPr>
      <w:r>
        <w:rPr>
          <w:b/>
          <w:bCs/>
        </w:rPr>
        <w:t xml:space="preserve">Justificación de Level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/>
          <w:bCs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Señalización proporciona</w:t>
      </w:r>
      <w:r>
        <w:t xml:space="preserve"> </w:t>
      </w:r>
      <w:r>
        <w:rPr>
          <w:b/>
          <w:bCs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[Control y Señalización]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[Control y Señalización]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Señalización]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c1270d0ad36b06f1b47f841d35503d08c8f62e0"/>
    <w:p>
      <w:pPr>
        <w:pStyle w:val="Heading3"/>
      </w:pPr>
      <w:r>
        <w:t xml:space="preserve">2. ATP Embarcado - Protección Automática de Trenes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ATP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de vía | 50 unidades | En estaciones ENCE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del sistema completo</w:t>
      </w:r>
    </w:p>
    <w:p>
      <w:pPr>
        <w:pStyle w:val="Compact"/>
        <w:numPr>
          <w:ilvl w:val="0"/>
          <w:numId w:val="1003"/>
        </w:numPr>
      </w:pPr>
      <w:r>
        <w:t xml:space="preserve">✅ Control centralizado desde CCO La Dorada</w:t>
      </w:r>
    </w:p>
    <w:p>
      <w:pPr>
        <w:pStyle w:val="Compact"/>
        <w:numPr>
          <w:ilvl w:val="0"/>
          <w:numId w:val="1003"/>
        </w:numPr>
      </w:pPr>
      <w:r>
        <w:t xml:space="preserve">✅ ATP embarcado en todas las locomotoras</w:t>
      </w:r>
    </w:p>
    <w:p>
      <w:pPr>
        <w:pStyle w:val="Compact"/>
        <w:numPr>
          <w:ilvl w:val="0"/>
          <w:numId w:val="1003"/>
        </w:numPr>
      </w:pPr>
      <w:r>
        <w:t xml:space="preserve">✅ Enclavamientos ENCE en 5 estaciones críticas</w:t>
      </w:r>
    </w:p>
    <w:p>
      <w:pPr>
        <w:pStyle w:val="Compact"/>
        <w:numPr>
          <w:ilvl w:val="0"/>
          <w:numId w:val="1003"/>
        </w:numPr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594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2511"/>
        <w:gridCol w:w="2511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Señalización]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Señalización]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Señalización]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/>
          <w:bCs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/>
          <w:bCs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/>
          <w:bCs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Middleware interoperabilidad:</w:t>
      </w:r>
      <w:r>
        <w:t xml:space="preserve"> </w:t>
      </w:r>
      <w:r>
        <w:t xml:space="preserve">Protocolo UIC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/>
          <w:bCs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CTC ↔ PTC/PTC VIRTUAL Nivel 2:</w:t>
      </w:r>
      <w:r>
        <w:t xml:space="preserve"> </w:t>
      </w:r>
      <w:r>
        <w:t xml:space="preserve">Intercambio de telegramas de movimiento, datos de ocupación desde RBC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CTC ↔ FENOCO:</w:t>
      </w:r>
      <w:r>
        <w:t xml:space="preserve"> </w:t>
      </w:r>
      <w:r>
        <w:t xml:space="preserve">Gateway UIC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/>
          <w:bCs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/>
          <w:bCs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/>
          <w:bCs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UIC 918-4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ATP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comunicaciones:</w:t>
      </w:r>
      <w:r>
        <w:t xml:space="preserve"> </w:t>
      </w:r>
      <w:r>
        <w:t xml:space="preserve">Sistema requiere RED TETRA (Misión Crítica)/TETRA operativo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 de ATP:</w:t>
      </w:r>
      <w:r>
        <w:t xml:space="preserve"> </w:t>
      </w:r>
      <w:r>
        <w:t xml:space="preserve">Requiere personal especializado para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Comunicaciones críticas para ATP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 rodante:</w:t>
      </w:r>
      <w:r>
        <w:t xml:space="preserve"> </w:t>
      </w:r>
      <w:r>
        <w:t xml:space="preserve">15 locomotoras con ATP embarcado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ATP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PTC PTC VIRTUAL Level 2 -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PTC PTC VIRTUAL Level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V.1_Señalizacion_Ferroviaria_Detalle_v5.0.md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atp-158-unidades"/>
    <w:p>
      <w:pPr>
        <w:pStyle w:val="Heading3"/>
      </w:pPr>
      <w:r>
        <w:t xml:space="preserve">DT-TETRA-001-2025-10-07: ATP 15→8 unidades</w:t>
      </w:r>
    </w:p>
    <w:p>
      <w:pPr>
        <w:pStyle w:val="Compact"/>
        <w:numPr>
          <w:ilvl w:val="0"/>
          <w:numId w:val="1010"/>
        </w:numPr>
      </w:pPr>
      <w:r>
        <w:t xml:space="preserve">Cambio: Cantidad ATP 15 → 8 (criterio 5+2+1)</w:t>
      </w:r>
    </w:p>
    <w:p>
      <w:pPr>
        <w:pStyle w:val="Compact"/>
        <w:numPr>
          <w:ilvl w:val="0"/>
          <w:numId w:val="1010"/>
        </w:numPr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pStyle w:val="Compact"/>
        <w:numPr>
          <w:ilvl w:val="0"/>
          <w:numId w:val="1011"/>
        </w:numPr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pStyle w:val="Compact"/>
        <w:numPr>
          <w:ilvl w:val="0"/>
          <w:numId w:val="1012"/>
        </w:numPr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pStyle w:val="Compact"/>
        <w:numPr>
          <w:ilvl w:val="0"/>
          <w:numId w:val="1013"/>
        </w:numPr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2026-03-13T19:39:48Z</dcterms:created>
  <dcterms:modified xsi:type="dcterms:W3CDTF">2026-03-13T19:39:48Z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