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Seguridad RAMS bajo FRA 236 Subpart I / PTCSP, Seguridad de Software bajo FRA 49 CFR §236.1015 (PTCSP):2023, Seguridad Electrónica Vital bajo FRA/PTC (§236.1015) y EN 50159</w:t>
      </w:r>
      <w:r>
        <w:t xml:space="preserve">. Para los elementos que deban desarrollarse en territorio colombiano se aplicará, además, la normativa nacional pertinente, en particular RETIE, NSR-10, NTC 4741 y el Manual de Senalización Vial adoptado mediante Resolución 20243040045005 de 2024.</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Seguridad RAMS bajo FRA 236 Subpart I / PTCSP</w:t>
      </w:r>
      <w:r>
        <w:t xml:space="preserve"> </w:t>
      </w:r>
      <w:r>
        <w:t xml:space="preserve">– RAMS (Garantía de Fiabilidad y Seguridad).</w:t>
      </w:r>
    </w:p>
    <w:p>
      <w:pPr>
        <w:numPr>
          <w:ilvl w:val="0"/>
          <w:numId w:val="1002"/>
        </w:numPr>
        <w:pStyle w:val="Compact"/>
      </w:pPr>
      <w:r>
        <w:rPr>
          <w:bCs/>
          <w:b/>
        </w:rPr>
        <w:t xml:space="preserve">Seguridad de Software bajo FRA 49 CFR §236.1015 (PTCSP):2023</w:t>
      </w:r>
      <w:r>
        <w:t xml:space="preserve"> </w:t>
      </w:r>
      <w:r>
        <w:t xml:space="preserve">– Software para sistemas de control y protección.</w:t>
      </w:r>
    </w:p>
    <w:p>
      <w:pPr>
        <w:numPr>
          <w:ilvl w:val="0"/>
          <w:numId w:val="1002"/>
        </w:numPr>
        <w:pStyle w:val="Compact"/>
      </w:pPr>
      <w:r>
        <w:rPr>
          <w:bCs/>
          <w:b/>
        </w:rPr>
        <w:t xml:space="preserve">Seguridad Electrónica Vital bajo FRA/PTC (§236.1015)</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20243040045005 de 2024</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Seguridad de Software bajo FRA 49 CFR §236.1015 (PTCSP):2023/50129: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2026-04-09T22:18:57Z</dcterms:created>
  <dcterms:modified xsi:type="dcterms:W3CDTF">2026-04-09T22:18:57Z</dcterms:modified>
</cp:coreProperties>
</file>

<file path=docProps/custom.xml><?xml version="1.0" encoding="utf-8"?>
<Properties xmlns="http://schemas.openxmlformats.org/officeDocument/2006/custom-properties" xmlns:vt="http://schemas.openxmlformats.org/officeDocument/2006/docPropsVTypes"/>
</file>