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Cs/>
          <w:b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Cs/>
          <w:b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Cs/>
          <w:b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Cs/>
          <w:b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Vida útil:</w:t>
      </w:r>
      <w:r>
        <w:t xml:space="preserve"> </w:t>
      </w:r>
      <w:r>
        <w:t xml:space="preserve">50 anos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Diseno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Cs/>
          <w:b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civiles:</w:t>
      </w:r>
      <w:r>
        <w:t xml:space="preserve"> </w:t>
      </w:r>
      <w:r>
        <w:t xml:space="preserve">Drenaje, iluminación, senalización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principales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Valles profundos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Cada 3.5 km promedio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Taludes críticos | ⏳ En diseno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con trocha estándar</w:t>
      </w:r>
    </w:p>
    <w:p>
      <w:pPr>
        <w:numPr>
          <w:ilvl w:val="0"/>
          <w:numId w:val="1003"/>
        </w:numPr>
        <w:pStyle w:val="Compact"/>
      </w:pPr>
      <w:r>
        <w:t xml:space="preserve">✅ 2 vías principales operativas</w:t>
      </w:r>
    </w:p>
    <w:p>
      <w:pPr>
        <w:numPr>
          <w:ilvl w:val="0"/>
          <w:numId w:val="1003"/>
        </w:numPr>
        <w:pStyle w:val="Compact"/>
      </w:pPr>
      <w:r>
        <w:t xml:space="preserve">✅ Obras de arte según especificaciones</w:t>
      </w:r>
    </w:p>
    <w:p>
      <w:pPr>
        <w:numPr>
          <w:ilvl w:val="0"/>
          <w:numId w:val="1003"/>
        </w:numPr>
        <w:pStyle w:val="Compact"/>
      </w:pPr>
      <w:r>
        <w:t xml:space="preserve">✅ Edificaciones sismo resistentes</w:t>
      </w:r>
    </w:p>
    <w:p>
      <w:pPr>
        <w:numPr>
          <w:ilvl w:val="0"/>
          <w:numId w:val="1003"/>
        </w:numPr>
        <w:pStyle w:val="Compact"/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hidrológicos:</w:t>
      </w:r>
      <w:r>
        <w:t xml:space="preserve"> </w:t>
      </w:r>
      <w:r>
        <w:t xml:space="preserve">Caudales de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2026-04-09T22:18:57Z</dcterms:created>
  <dcterms:modified xsi:type="dcterms:W3CDTF">2026-04-09T22:18:57Z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