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EN 50126, EN 50716:2023, EN 50129 y EN 50159</w:t>
      </w:r>
      <w:r>
        <w:t xml:space="preserve">. Para los elementos que deban desarrollarse en territorio colombiano se aplicará, además, la normativa nacional pertinente, en particular RETIE, NSR-10, NTC 4741 y el Manual de Senalización Vial adoptado mediante Resolución 1885 de 2015.</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EN 50126</w:t>
      </w:r>
      <w:r>
        <w:t xml:space="preserve"> </w:t>
      </w:r>
      <w:r>
        <w:t xml:space="preserve">– RAMS (Garantía de Fiabilidad y Seguridad).</w:t>
      </w:r>
    </w:p>
    <w:p>
      <w:pPr>
        <w:numPr>
          <w:ilvl w:val="0"/>
          <w:numId w:val="1002"/>
        </w:numPr>
        <w:pStyle w:val="Compact"/>
      </w:pPr>
      <w:r>
        <w:rPr>
          <w:bCs/>
          <w:b/>
        </w:rPr>
        <w:t xml:space="preserve">EN 50716:2023</w:t>
      </w:r>
      <w:r>
        <w:t xml:space="preserve"> </w:t>
      </w:r>
      <w:r>
        <w:t xml:space="preserve">– Software para sistemas de control y protección.</w:t>
      </w:r>
    </w:p>
    <w:p>
      <w:pPr>
        <w:numPr>
          <w:ilvl w:val="0"/>
          <w:numId w:val="1002"/>
        </w:numPr>
        <w:pStyle w:val="Compact"/>
      </w:pPr>
      <w:r>
        <w:rPr>
          <w:bCs/>
          <w:b/>
        </w:rPr>
        <w:t xml:space="preserve">EN 50129</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1885 de 2015</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EN 50716:2023/50129: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2026-04-09T15:58:29Z</dcterms:created>
  <dcterms:modified xsi:type="dcterms:W3CDTF">2026-04-09T15:58:29Z</dcterms:modified>
</cp:coreProperties>
</file>

<file path=docProps/custom.xml><?xml version="1.0" encoding="utf-8"?>
<Properties xmlns="http://schemas.openxmlformats.org/officeDocument/2006/custom-properties" xmlns:vt="http://schemas.openxmlformats.org/officeDocument/2006/docPropsVTypes"/>
</file>