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5-infraestructura-operativa"/>
    <w:p>
      <w:pPr>
        <w:pStyle w:val="Heading1"/>
      </w:pPr>
      <w:r>
        <w:t xml:space="preserve">SISTEMA 05: INFRAESTRUCTURA OPERATIVA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Infraestructura Operativa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las instalaciones, edificaciones y servicios necesarios para la operación del corredor. Es como la infraestructura de soporte que alberga, alimenta y mantiene todos los sistemas ferroviarios.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CCO:</w:t>
      </w:r>
      <w:r>
        <w:t xml:space="preserve"> </w:t>
      </w:r>
      <w:r>
        <w:t xml:space="preserve">Centro de Control Operativo en La Dorada (250 m² sala control + 200 m² sala servidores)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Zapatosa, García Cadena, Barrancabermeja, Puerto Berrío-Grecia, La Dorada-México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subestaciones:</w:t>
      </w:r>
      <w:r>
        <w:t xml:space="preserve"> </w:t>
      </w:r>
      <w:r>
        <w:t xml:space="preserve">4 principales + 8 de distribución para alimentación eléctrica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telecomunicaciones:</w:t>
      </w:r>
      <w:r>
        <w:t xml:space="preserve"> </w:t>
      </w:r>
      <w:r>
        <w:t xml:space="preserve">Torres TETRA/Red Vital IP / TETRA colocalizadas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Edificaciones, puentes, 146 pasos a nivel, drenaje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de soporte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CCO, 99.5% estaciones (según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c9badb7444c1cd21e6f2c2bd7555af602b6f7c8"/>
    <w:p>
      <w:pPr>
        <w:pStyle w:val="Heading3"/>
      </w:pPr>
      <w:r>
        <w:t xml:space="preserve">¿Por qué 1 CCO en La Dorada específicamente?</w:t>
      </w:r>
    </w:p>
    <w:p>
      <w:pPr>
        <w:pStyle w:val="FirstParagraph"/>
      </w:pPr>
      <w:r>
        <w:rPr>
          <w:bCs/>
          <w:b/>
        </w:rPr>
        <w:t xml:space="preserve">Justificación de Ubicación (AT1 UF2 Tabla 16):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Ubicación:</w:t>
      </w:r>
      <w:r>
        <w:t xml:space="preserve"> </w:t>
      </w:r>
      <w:r>
        <w:t xml:space="preserve">La Dorada, Caldas (Km 0+000 del corredor)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Área total:</w:t>
      </w:r>
      <w:r>
        <w:t xml:space="preserve"> </w:t>
      </w:r>
      <w:r>
        <w:t xml:space="preserve">1,100 m² (850 m² edificio principal + 250 m² áreas auxiliares)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control:</w:t>
      </w:r>
      <w:r>
        <w:t xml:space="preserve"> </w:t>
      </w:r>
      <w:r>
        <w:t xml:space="preserve">250 m² con consolas de operación y monitoreo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servidores:</w:t>
      </w:r>
      <w:r>
        <w:t xml:space="preserve"> </w:t>
      </w:r>
      <w:r>
        <w:t xml:space="preserve">200 m² con equipos críticos y climatización especial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Punto de inicio del corredor, accesibilidad, servicios disponibles</w:t>
      </w:r>
    </w:p>
    <w:bookmarkEnd w:id="25"/>
    <w:bookmarkStart w:id="26" w:name="X2ce6ca7ad0079b905a446a18a9e34c4504381da"/>
    <w:p>
      <w:pPr>
        <w:pStyle w:val="Heading3"/>
      </w:pPr>
      <w:r>
        <w:t xml:space="preserve">¿Por qué 5 estaciones ENCE específicamente?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| Estación | Ubicación | Área | Justificación |</w:t>
      </w:r>
      <w:r>
        <w:t xml:space="preserve"> </w:t>
      </w:r>
      <w:r>
        <w:t xml:space="preserve">|:———|:———-|:—–|:————–|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Zapatosa</w:t>
      </w:r>
      <w:r>
        <w:t xml:space="preserve"> </w:t>
      </w:r>
      <w:r>
        <w:t xml:space="preserve">| Zapatosa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García Cadena</w:t>
      </w:r>
      <w:r>
        <w:t xml:space="preserve"> </w:t>
      </w:r>
      <w:r>
        <w:t xml:space="preserve">| García Cadena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Barrancabermeja</w:t>
      </w:r>
      <w:r>
        <w:t xml:space="preserve"> </w:t>
      </w:r>
      <w:r>
        <w:t xml:space="preserve">| Barrancabermeja | 300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Puerto Berrío-Grecia</w:t>
      </w:r>
      <w:r>
        <w:t xml:space="preserve"> </w:t>
      </w:r>
      <w:r>
        <w:t xml:space="preserve">| Puerto Berrío | 250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La Dorada-México</w:t>
      </w:r>
      <w:r>
        <w:t xml:space="preserve"> </w:t>
      </w:r>
      <w:r>
        <w:t xml:space="preserve">| La Dorada | 300 m² | Estación principal con maniobras complejas |</w:t>
      </w:r>
    </w:p>
    <w:p>
      <w:pPr>
        <w:pStyle w:val="BodyText"/>
      </w:pPr>
      <w:r>
        <w:rPr>
          <w:bCs/>
          <w:b/>
        </w:rPr>
        <w:t xml:space="preserve">Criterio de selección:</w:t>
      </w:r>
      <w:r>
        <w:t xml:space="preserve"> </w:t>
      </w:r>
      <w:r>
        <w:t xml:space="preserve">Solo estaciones con conflictos de rutas requieren ENCE</w:t>
      </w:r>
    </w:p>
    <w:bookmarkEnd w:id="26"/>
    <w:bookmarkStart w:id="27" w:name="Xd9b38136ee5d1d3608aeeb3a9256a1ed01201da"/>
    <w:p>
      <w:pPr>
        <w:pStyle w:val="Heading3"/>
      </w:pPr>
      <w:r>
        <w:t xml:space="preserve">¿Por qué 12 subestaciones (4 principales + 8 distribución)?</w:t>
      </w:r>
    </w:p>
    <w:p>
      <w:pPr>
        <w:pStyle w:val="FirstParagraph"/>
      </w:pPr>
      <w:r>
        <w:rPr>
          <w:bCs/>
          <w:b/>
        </w:rPr>
        <w:t xml:space="preserve">Justificación de 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subestaciones principales:</w:t>
      </w:r>
      <w:r>
        <w:t xml:space="preserve"> </w:t>
      </w:r>
      <w:r>
        <w:t xml:space="preserve">La Dorada, Puerto Berrío, Barrancabermeja,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Puntos principales de transformación y distribución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alta tensión a media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subestaciones de distribución:</w:t>
      </w:r>
      <w:r>
        <w:t xml:space="preserve"> </w:t>
      </w:r>
      <w:r>
        <w:t xml:space="preserve">Ubicaciones intermedias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Distribución de energía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media tensión a baja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1 subestación cada 75 km aproximadamente</w:t>
      </w:r>
    </w:p>
    <w:bookmarkEnd w:id="27"/>
    <w:bookmarkStart w:id="28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Colocalización:</w:t>
      </w:r>
      <w:r>
        <w:t xml:space="preserve"> </w:t>
      </w:r>
      <w:r>
        <w:t xml:space="preserve">Torres TETRA/Red Vital IP / TETRA en las mismas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Radio de 15 km por estación con solapamiento 20%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efectivo = 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Compartir infraestructura (torres, alimentación, respaldo)</w:t>
      </w:r>
    </w:p>
    <w:bookmarkEnd w:id="28"/>
    <w:bookmarkStart w:id="29" w:name="por-qué-146-pasos-a-nivel"/>
    <w:p>
      <w:pPr>
        <w:pStyle w:val="Heading3"/>
      </w:pPr>
      <w:r>
        <w:t xml:space="preserve">¿Por qué 146 pasos a nivel?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existente:</w:t>
      </w:r>
      <w:r>
        <w:t xml:space="preserve"> </w:t>
      </w:r>
      <w:r>
        <w:t xml:space="preserve">146 pasos a nivel identificados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Todos los pasos a nivel con sistemas de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completa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Sistemas automáticos de barreras y senales</w:t>
      </w:r>
    </w:p>
    <w:bookmarkEnd w:id="29"/>
    <w:bookmarkStart w:id="30" w:name="por-qué-dimensiones-específicas-del-cco"/>
    <w:p>
      <w:pPr>
        <w:pStyle w:val="Heading3"/>
      </w:pPr>
      <w:r>
        <w:t xml:space="preserve">¿Por qué dimensiones específicas del CCO?</w:t>
      </w:r>
    </w:p>
    <w:p>
      <w:pPr>
        <w:pStyle w:val="FirstParagraph"/>
      </w:pPr>
      <w:r>
        <w:rPr>
          <w:bCs/>
          <w:b/>
        </w:rPr>
        <w:t xml:space="preserve">Justificación de Áreas (AT1 UF2 Tabla 16):</w:t>
      </w:r>
      <w:r>
        <w:t xml:space="preserve"> </w:t>
      </w:r>
      <w:r>
        <w:t xml:space="preserve">| Componente | Área | Justificación |</w:t>
      </w:r>
      <w:r>
        <w:t xml:space="preserve"> </w:t>
      </w:r>
      <w:r>
        <w:t xml:space="preserve">|:———–|:—–|:————–|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Control</w:t>
      </w:r>
      <w:r>
        <w:t xml:space="preserve"> </w:t>
      </w:r>
      <w:r>
        <w:t xml:space="preserve">| 250 m² | Consolas de operación, monitoreo, personal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Servidores</w:t>
      </w:r>
      <w:r>
        <w:t xml:space="preserve"> </w:t>
      </w:r>
      <w:r>
        <w:t xml:space="preserve">| 200 m² | Equipos críticos, climatización, respaldo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150 m² | Personal técnico y administrativo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Área de Respaldo</w:t>
      </w:r>
      <w:r>
        <w:t xml:space="preserve"> </w:t>
      </w:r>
      <w:r>
        <w:t xml:space="preserve">| 100 m² | Sistemas UPS y generadores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Estacionamiento</w:t>
      </w:r>
      <w:r>
        <w:t xml:space="preserve"> </w:t>
      </w:r>
      <w:r>
        <w:t xml:space="preserve">| 500 m² | Personal operativo |</w:t>
      </w:r>
    </w:p>
    <w:bookmarkEnd w:id="30"/>
    <w:bookmarkStart w:id="31" w:name="por-qué-disponibilidad-diferenciada"/>
    <w:p>
      <w:pPr>
        <w:pStyle w:val="Heading3"/>
      </w:pPr>
      <w:r>
        <w:t xml:space="preserve">¿Por qué disponibilidad diferenciada?</w:t>
      </w:r>
    </w:p>
    <w:p>
      <w:pPr>
        <w:pStyle w:val="FirstParagraph"/>
      </w:pPr>
      <w:r>
        <w:rPr>
          <w:bCs/>
          <w:b/>
        </w:rPr>
        <w:t xml:space="preserve">Criterios de Disponibilidad (AT4):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CCO:</w:t>
      </w:r>
      <w:r>
        <w:t xml:space="preserve"> </w:t>
      </w:r>
      <w:r>
        <w:t xml:space="preserve">Sistema crítico para operación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Estaciones:</w:t>
      </w:r>
      <w:r>
        <w:t xml:space="preserve"> </w:t>
      </w:r>
      <w:r>
        <w:t xml:space="preserve">Infraestructura general con redundancia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Subestaciones principales:</w:t>
      </w:r>
      <w:r>
        <w:t xml:space="preserve"> </w:t>
      </w:r>
      <w:r>
        <w:t xml:space="preserve">Sistemas críticos de alimentación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Subestaciones distribución:</w:t>
      </w:r>
      <w:r>
        <w:t xml:space="preserve"> </w:t>
      </w:r>
      <w:r>
        <w:t xml:space="preserve">Sistemas auxiliares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Infraestructura Operativa proporciona</w:t>
      </w:r>
      <w:r>
        <w:t xml:space="preserve"> </w:t>
      </w:r>
      <w:r>
        <w:rPr>
          <w:bCs/>
          <w:b/>
        </w:rPr>
        <w:t xml:space="preserve">soporte físico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Control:</w:t>
      </w:r>
      <w:r>
        <w:t xml:space="preserve"> </w:t>
      </w:r>
      <w:r>
        <w:t xml:space="preserve">Instalaciones para operación centralizada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Estaciones:</w:t>
      </w:r>
      <w:r>
        <w:t xml:space="preserve"> </w:t>
      </w:r>
      <w:r>
        <w:t xml:space="preserve">Puntos de parada y servicios para el ferrocarril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Subestaciones:</w:t>
      </w:r>
      <w:r>
        <w:t xml:space="preserve"> </w:t>
      </w:r>
      <w:r>
        <w:t xml:space="preserve">Alimentación eléctrica para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 de soporte:</w:t>
      </w:r>
      <w:r>
        <w:t xml:space="preserve"> </w:t>
      </w:r>
      <w:r>
        <w:t xml:space="preserve">Edificaciones, accesos, servicios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Operación:</w:t>
      </w:r>
      <w:r>
        <w:t xml:space="preserve"> </w:t>
      </w:r>
      <w:r>
        <w:t xml:space="preserve">Instalaciones para control centralizado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Servicios:</w:t>
      </w:r>
      <w:r>
        <w:t xml:space="preserve"> </w:t>
      </w:r>
      <w:r>
        <w:t xml:space="preserve">Puntos de atención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Alimentación:</w:t>
      </w:r>
      <w:r>
        <w:t xml:space="preserve"> </w:t>
      </w:r>
      <w:r>
        <w:t xml:space="preserve">Energía eléctrica para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Soporte:</w:t>
      </w:r>
      <w:r>
        <w:t xml:space="preserve"> </w:t>
      </w:r>
      <w:r>
        <w:t xml:space="preserve">Infraestructura para personal y equipos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X60d7ed5bd5105ad5cdbc3b3eb9d8b53f6db405d"/>
    <w:p>
      <w:pPr>
        <w:pStyle w:val="Heading3"/>
      </w:pPr>
      <w:r>
        <w:t xml:space="preserve">1. Centro de Control Operativo (CCO) - Cerebro del Sistema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toda la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Edificio principal | 1 unidad | 2,500 m², 3 pisos | ⏳ En construcción |</w:t>
      </w:r>
      <w:r>
        <w:t xml:space="preserve"> </w:t>
      </w:r>
      <w:r>
        <w:t xml:space="preserve">| Sala de control | 1 unidad | 500 m², videowall | ⏳ En construcción |</w:t>
      </w:r>
      <w:r>
        <w:t xml:space="preserve"> </w:t>
      </w:r>
      <w:r>
        <w:t xml:space="preserve">| Salas técnicas | 8 unidades | 200 m² cada una | ⏳ En construcción |</w:t>
      </w:r>
      <w:r>
        <w:t xml:space="preserve"> </w:t>
      </w:r>
      <w:r>
        <w:t xml:space="preserve">| Oficinas administrativas | 15 unidades | 50 m² cada una | ⏳ En construcción |</w:t>
      </w:r>
      <w:r>
        <w:t xml:space="preserve"> </w:t>
      </w:r>
      <w:r>
        <w:t xml:space="preserve">| Área de respaldo | 1 unidad | 300 m²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staciones---puntos-de-servicio"/>
    <w:p>
      <w:pPr>
        <w:pStyle w:val="Heading3"/>
      </w:pPr>
      <w:r>
        <w:t xml:space="preserve">2. Estaciones - Puntos de Servicio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Puntos de parada y servicios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principales | 5 unidades | La Dorada, Puerto Berrío, Barrancabermeja, Bucaramanga, Chiriguaná | ⏳ En construcción |</w:t>
      </w:r>
      <w:r>
        <w:t xml:space="preserve"> </w:t>
      </w:r>
      <w:r>
        <w:t xml:space="preserve">| Estaciones secundarias | 32 unidades | Ubicaciones intermedias | ⏳ En construcción |</w:t>
      </w:r>
      <w:r>
        <w:t xml:space="preserve"> </w:t>
      </w:r>
      <w:r>
        <w:t xml:space="preserve">| Andenes | 74 unidades | En todas las estaciones | ⏳ En construcción |</w:t>
      </w:r>
      <w:r>
        <w:t xml:space="preserve"> </w:t>
      </w:r>
      <w:r>
        <w:t xml:space="preserve">| Edificios de estación | 37 unidades | Servicios y oficinas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ubestaciones-eléctricas---alimentación"/>
    <w:p>
      <w:pPr>
        <w:pStyle w:val="Heading3"/>
      </w:pPr>
      <w:r>
        <w:t xml:space="preserve">3. Subestaciones Eléctricas - Alimentación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Alimentación eléctrica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Subestaciones principales | 8 unidades | [ESTÁNDAR PROHIBIDO: SICC v6.3 ES DIÉSEL], 50 MVA | ⏳ En construcción |</w:t>
      </w:r>
      <w:r>
        <w:t xml:space="preserve"> </w:t>
      </w:r>
      <w:r>
        <w:t xml:space="preserve">| Transformadores | 16 unidades | [ESTÁNDAR PROHIBIDO: SICC v6.3 ES DIÉSEL]/0.4 kV | ⏳ En construcción |</w:t>
      </w:r>
      <w:r>
        <w:t xml:space="preserve"> </w:t>
      </w:r>
      <w:r>
        <w:t xml:space="preserve">| Sistemas de respaldo | 8 unidades | UPS + Generadores | ⏳ En construcción |</w:t>
      </w:r>
      <w:r>
        <w:t xml:space="preserve"> </w:t>
      </w:r>
      <w:r>
        <w:t xml:space="preserve">| Sistemas de puesta a tierra | 8 unidades | Protección contra rayos | ⏳ En construcción |</w:t>
      </w:r>
      <w:r>
        <w:t xml:space="preserve"> </w:t>
      </w:r>
      <w:r>
        <w:t xml:space="preserve">| Sistemas de monitoreo | 8 unidades | SCADA eléctrico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Xf41e32c5c51255992157d3336ecde3aa209b2df"/>
    <w:p>
      <w:pPr>
        <w:pStyle w:val="Heading3"/>
      </w:pPr>
      <w:r>
        <w:t xml:space="preserve">4. Infraestructura de Soporte - Servicios Generales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Servicios de soporte para la operación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Talleres de mantenimiento | 3 unidades | La Dorada, Chiriguaná, Puerto Berrío | ✅ Operativos |</w:t>
      </w:r>
      <w:r>
        <w:t xml:space="preserve"> </w:t>
      </w:r>
      <w:r>
        <w:t xml:space="preserve">| Bodegas de almacenamiento | 5 unidades | Ubicaciones estratégicas | ✅ Operativas |</w:t>
      </w:r>
      <w:r>
        <w:t xml:space="preserve"> </w:t>
      </w:r>
      <w:r>
        <w:t xml:space="preserve">| Oficinas administrativas | 8 unidades | Estaciones principales | ⏳ En construcción |</w:t>
      </w:r>
      <w:r>
        <w:t xml:space="preserve"> </w:t>
      </w:r>
      <w:r>
        <w:t xml:space="preserve">| Sistemas de drenaje | 37 unidades | En todas las estaciones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MVA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Tensión de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[ESTÁNDAR PROHIBIDO: SICC v6.3 ES DIÉSEL]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CCO con capacidad para 500 operadores</w:t>
      </w:r>
    </w:p>
    <w:p>
      <w:pPr>
        <w:numPr>
          <w:ilvl w:val="0"/>
          <w:numId w:val="1003"/>
        </w:numPr>
        <w:pStyle w:val="Compact"/>
      </w:pPr>
      <w:r>
        <w:t xml:space="preserve">✅ 37 estaciones con servicios completos</w:t>
      </w:r>
    </w:p>
    <w:p>
      <w:pPr>
        <w:numPr>
          <w:ilvl w:val="0"/>
          <w:numId w:val="1003"/>
        </w:numPr>
        <w:pStyle w:val="Compact"/>
      </w:pPr>
      <w:r>
        <w:t xml:space="preserve">✅ 8 subestaciones de [ESTÁNDAR PROHIBIDO: SICC v6.3 ES DIÉSEL]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infraestructura crítica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NSR-10 y RETIE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infraestructura operativa se despliega a lo largo del corredor de 526 km, con concentración en La Dorada (CCO), estaciones principales y ubicaciones estratégicas.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control, oficinas,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operativa funciona 24/7 proporcionando soporte para la operación ferroviaria, con monitoreo continuo de la disponibilidad y rendimiento de las instalaciones.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instalaciones y servicios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eléctricos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infraestructura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Eléctrico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y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generales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construcción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infraestructura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SISTEMA_05_Infraestructura_Operativa_Master.md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V.2.1_Sistema_Alimentacion_Principal_DETALLADO.md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 y EPC Eléctrico.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Infraestructura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Eléctrico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Satisfacción del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scada-001002003"/>
    <w:p>
      <w:pPr>
        <w:pStyle w:val="Heading3"/>
      </w:pPr>
      <w:r>
        <w:t xml:space="preserve">DT-SCADA-001/002/003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05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SISTEMA_05_Infraestructura_Operativa_Master.md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2026-04-09T15:58:31Z</dcterms:created>
  <dcterms:modified xsi:type="dcterms:W3CDTF">2026-04-09T15:58:31Z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