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4-material-rodante"/>
    <w:p>
      <w:pPr>
        <w:pStyle w:val="Heading1"/>
      </w:pPr>
      <w:r>
        <w:t xml:space="preserve">SISTEMA 04: MATERIAL RODANTE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flota de vehículos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Sistemas embarcados:</w:t>
      </w:r>
      <w:r>
        <w:t xml:space="preserve"> </w:t>
      </w:r>
      <w:r>
        <w:t xml:space="preserve">PTC PTC Virtual (FRA 236), TETRA + Red Vital IP / TETRA, GPS/GNSS, CCTV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Capacidad de transporte requerida para 526 km de corredor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requerida:</w:t>
      </w:r>
      <w:r>
        <w:t xml:space="preserve"> </w:t>
      </w:r>
      <w:r>
        <w:t xml:space="preserve">8 equipos para cobertura de 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27"/>
    <w:bookmarkStart w:id="28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bookmarkEnd w:id="29"/>
    <w:bookmarkStart w:id="30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Cs/>
          <w:b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PTC PTC Virtual (FRA 236)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Event Recorder</w:t>
      </w:r>
      <w:r>
        <w:t xml:space="preserve"> </w:t>
      </w:r>
      <w:r>
        <w:t xml:space="preserve">| Arquitectura Abierta SICC para eventos | 15 | Locomotoras |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Cs/>
          <w:b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PTC Virtual (FRA 236) | ⏳ En adquisición |</w:t>
      </w:r>
      <w:r>
        <w:t xml:space="preserve"> </w:t>
      </w:r>
      <w:r>
        <w:t xml:space="preserve">| Sistemas PTC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Red Vital IP / TETRA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9"/>
    <w:bookmarkStart w:id="40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con PTC embarcado PTC Virtual (FRA 236)</w:t>
      </w:r>
    </w:p>
    <w:p>
      <w:pPr>
        <w:numPr>
          <w:ilvl w:val="0"/>
          <w:numId w:val="1003"/>
        </w:numPr>
        <w:pStyle w:val="Compact"/>
      </w:pPr>
      <w:r>
        <w:t xml:space="preserve">✅ 51 vagones con capacidad total de 2,550 toneladas</w:t>
      </w:r>
    </w:p>
    <w:p>
      <w:pPr>
        <w:numPr>
          <w:ilvl w:val="0"/>
          <w:numId w:val="1003"/>
        </w:numPr>
        <w:pStyle w:val="Compact"/>
      </w:pPr>
      <w:r>
        <w:t xml:space="preserve">✅ 15 dispositivos EOT para monitoreo de trenes</w:t>
      </w:r>
    </w:p>
    <w:p>
      <w:pPr>
        <w:numPr>
          <w:ilvl w:val="0"/>
          <w:numId w:val="1003"/>
        </w:numPr>
        <w:pStyle w:val="Compact"/>
      </w:pPr>
      <w:r>
        <w:t xml:space="preserve">✅ 3 talleres operativos para mantenimiento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526 km, con talleres ubicados estratégicamente en La Dorada (principal), Chiriguaná (secundario) y estaciones intermedias.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Material Rodante:</w:t>
      </w:r>
      <w:r>
        <w:t xml:space="preserve"> </w:t>
      </w:r>
      <w:r>
        <w:t xml:space="preserve">15 locomotoras con PTC embarcado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mr-dt-eot"/>
    <w:p>
      <w:pPr>
        <w:pStyle w:val="Heading3"/>
      </w:pPr>
      <w:r>
        <w:t xml:space="preserve">DT-MR, DT-EOT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04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2026-04-09T22:20:09Z</dcterms:created>
  <dcterms:modified xsi:type="dcterms:W3CDTF">2026-04-09T22:20:09Z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