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Cs/>
          <w:b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Bloque lógico de integración (NO hardware físico único)</w:t>
      </w:r>
    </w:p>
    <w:p>
      <w:pPr>
        <w:numPr>
          <w:ilvl w:val="1"/>
          <w:numId w:val="1006"/>
        </w:numPr>
        <w:pStyle w:val="Compact"/>
      </w:pPr>
      <w:r>
        <w:t xml:space="preserve">Conecta: CTC ↔ PTC/PTC VIRTUAL L2 ↔ FENOCO ↔ TETRA ↔ Fibra ↔ ITS</w:t>
      </w:r>
    </w:p>
    <w:p>
      <w:pPr>
        <w:numPr>
          <w:ilvl w:val="1"/>
          <w:numId w:val="1006"/>
        </w:numPr>
        <w:pStyle w:val="Compact"/>
      </w:pPr>
      <w:r>
        <w:t xml:space="preserve">Composición: Gateways industriales + Switches borde + Firewalls IEC 62443 + Middleware FRA/AREMA 918-4 + Licencias software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Alcance $150M incluye:</w:t>
      </w:r>
    </w:p>
    <w:p>
      <w:pPr>
        <w:numPr>
          <w:ilvl w:val="1"/>
          <w:numId w:val="1007"/>
        </w:numPr>
        <w:pStyle w:val="Compact"/>
      </w:pPr>
      <w:r>
        <w:t xml:space="preserve">Licencias integración (protocolos, middleware)</w:t>
      </w:r>
    </w:p>
    <w:p>
      <w:pPr>
        <w:numPr>
          <w:ilvl w:val="1"/>
          <w:numId w:val="1007"/>
        </w:numPr>
        <w:pStyle w:val="Compact"/>
      </w:pPr>
      <w:r>
        <w:t xml:space="preserve">Configuración redundancia N+1</w:t>
      </w:r>
    </w:p>
    <w:p>
      <w:pPr>
        <w:numPr>
          <w:ilvl w:val="1"/>
          <w:numId w:val="1007"/>
        </w:numPr>
        <w:pStyle w:val="Compact"/>
      </w:pPr>
      <w:r>
        <w:t xml:space="preserve">Ensayos FAT/SAT interoperabilidad</w:t>
      </w:r>
    </w:p>
    <w:p>
      <w:pPr>
        <w:numPr>
          <w:ilvl w:val="1"/>
          <w:numId w:val="1007"/>
        </w:numPr>
        <w:pStyle w:val="Compact"/>
      </w:pPr>
      <w:r>
        <w:t xml:space="preserve">Integración entorno virtual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0"/>
        </w:numPr>
        <w:pStyle w:val="Compact"/>
      </w:pPr>
      <w:r>
        <w:t xml:space="preserve">Cotización actualizada</w:t>
      </w:r>
    </w:p>
    <w:p>
      <w:pPr>
        <w:numPr>
          <w:ilvl w:val="1"/>
          <w:numId w:val="1010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10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2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2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2"/>
        </w:numPr>
        <w:pStyle w:val="Compact"/>
      </w:pPr>
      <w:r>
        <w:t xml:space="preserve">5 enclavamientos según AT1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4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4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7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7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7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8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8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8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1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1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1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4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4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4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6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6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6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8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8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8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0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0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2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2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4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4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4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6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6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6"/>
        </w:numPr>
        <w:pStyle w:val="Compact"/>
      </w:pPr>
      <w:r>
        <w:t xml:space="preserve">Certificación ferroviaria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7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9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1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1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2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5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5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5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5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5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2026-03-20T19:29:12Z</dcterms:created>
  <dcterms:modified xsi:type="dcterms:W3CDTF">2026-03-20T19:29:12Z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