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2" w:name="especialidad-04-ingeniería-de-sistemas"/>
    <w:p>
      <w:pPr>
        <w:pStyle w:val="Heading1"/>
      </w:pPr>
      <w:r>
        <w:t xml:space="preserve">ESPECIALIDAD 04: INGENIERÍA DE SISTEMAS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2" w:name="resumen-ejecutivo"/>
    <w:p>
      <w:pPr>
        <w:pStyle w:val="Heading2"/>
      </w:pPr>
      <w:r>
        <w:t xml:space="preserve">📊 RESUMEN EJECUTIVO</w:t>
      </w:r>
    </w:p>
    <w:bookmarkStart w:id="10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de Sistemas es el</w:t>
      </w:r>
      <w:r>
        <w:t xml:space="preserve"> </w:t>
      </w:r>
      <w:r>
        <w:rPr>
          <w:b/>
          <w:bCs/>
        </w:rPr>
        <w:t xml:space="preserve">“sistema nervioso”</w:t>
      </w:r>
      <w:r>
        <w:t xml:space="preserve"> </w:t>
      </w:r>
      <w:r>
        <w:t xml:space="preserve">del ferrocarril que integra y coordina todos los sistemas técnicos para que trabajen como un conjunto unificado. Es como el software de un computador que hace que todos los componentes trabajen juntos de manera eficiente y segura.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6 sistemas técnicos integrados:</w:t>
      </w:r>
      <w:r>
        <w:t xml:space="preserve"> </w:t>
      </w:r>
      <w:r>
        <w:t xml:space="preserve">Control, Telecomunicaciones, ITS, Seguridad, Material Rodante, Infraestructura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25 interfaces críticas:</w:t>
      </w:r>
      <w:r>
        <w:t xml:space="preserve"> </w:t>
      </w:r>
      <w:r>
        <w:t xml:space="preserve">Comunicación entre sistemas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protocolos:</w:t>
      </w:r>
      <w:r>
        <w:t xml:space="preserve"> </w:t>
      </w:r>
      <w:r>
        <w:t xml:space="preserve">Estándares de interoperabilidad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99.95% disponibilidad:</w:t>
      </w:r>
      <w:r>
        <w:t xml:space="preserve"> </w:t>
      </w:r>
      <w:r>
        <w:t xml:space="preserve">Sistemas críticos integrados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3" w:name="por-qué-6-sistemas-técnicos-integrados"/>
    <w:p>
      <w:pPr>
        <w:pStyle w:val="Heading3"/>
      </w:pPr>
      <w:r>
        <w:t xml:space="preserve">¿Por qué 6 sistemas técnicos integrados?</w:t>
      </w:r>
    </w:p>
    <w:p>
      <w:pPr>
        <w:pStyle w:val="FirstParagraph"/>
      </w:pPr>
      <w:r>
        <w:rPr>
          <w:b/>
          <w:bCs/>
        </w:rPr>
        <w:t xml:space="preserve">Justificación de Integración:</w:t>
      </w:r>
      <w:r>
        <w:t xml:space="preserve"> </w:t>
      </w:r>
      <w:r>
        <w:t xml:space="preserve">| Sistema | Función | Justificación |</w:t>
      </w:r>
      <w:r>
        <w:t xml:space="preserve"> </w:t>
      </w:r>
      <w:r>
        <w:t xml:space="preserve">|:——–|:——–|:————–|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 y Señalización</w:t>
      </w:r>
      <w:r>
        <w:t xml:space="preserve"> </w:t>
      </w:r>
      <w:r>
        <w:t xml:space="preserve">| Control centralizado | Operación segura de trenes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Telecomunicaciones</w:t>
      </w:r>
      <w:r>
        <w:t xml:space="preserve"> </w:t>
      </w:r>
      <w:r>
        <w:t xml:space="preserve">| Comunicaciones | Conectividad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ITS y Seguridad</w:t>
      </w:r>
      <w:r>
        <w:t xml:space="preserve"> </w:t>
      </w:r>
      <w:r>
        <w:t xml:space="preserve">| Monitoreo y seguridad | Protección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| Transporte | Capacidad de transporte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Infraestructura</w:t>
      </w:r>
      <w:r>
        <w:t xml:space="preserve"> </w:t>
      </w:r>
      <w:r>
        <w:t xml:space="preserve">| Soporte físico | Base para todos los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Integración</w:t>
      </w:r>
      <w:r>
        <w:t xml:space="preserve"> </w:t>
      </w:r>
      <w:r>
        <w:t xml:space="preserve">| Coordinación | Funcionamiento unificado |</w:t>
      </w:r>
    </w:p>
    <w:bookmarkEnd w:id="13"/>
    <w:bookmarkStart w:id="14" w:name="por-qué-25-interfaces-críticas"/>
    <w:p>
      <w:pPr>
        <w:pStyle w:val="Heading3"/>
      </w:pPr>
      <w:r>
        <w:t xml:space="preserve">¿Por qué 25 interfaces críticas?</w:t>
      </w:r>
    </w:p>
    <w:p>
      <w:pPr>
        <w:pStyle w:val="FirstParagraph"/>
      </w:pPr>
      <w:r>
        <w:rPr>
          <w:b/>
          <w:bCs/>
        </w:rPr>
        <w:t xml:space="preserve">Justificación de Interfaces: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CTC-PTC:</w:t>
      </w:r>
      <w:r>
        <w:t xml:space="preserve"> </w:t>
      </w:r>
      <w:r>
        <w:t xml:space="preserve">5 interfaces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TETRA-RED TETRA (Misión Crítica):</w:t>
      </w:r>
      <w:r>
        <w:t xml:space="preserve"> </w:t>
      </w:r>
      <w:r>
        <w:t xml:space="preserve">4 interfaces para comunicaciones redundantes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ITS-Seguridad:</w:t>
      </w:r>
      <w:r>
        <w:t xml:space="preserve"> </w:t>
      </w:r>
      <w:r>
        <w:t xml:space="preserve">3 interfaces para monitoreo y control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Material Rodante-PTC:</w:t>
      </w:r>
      <w:r>
        <w:t xml:space="preserve"> </w:t>
      </w:r>
      <w:r>
        <w:t xml:space="preserve">4 interfaces para control embarcado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Infraestructura:</w:t>
      </w:r>
      <w:r>
        <w:t xml:space="preserve"> </w:t>
      </w:r>
      <w:r>
        <w:t xml:space="preserve">6 interfaces para coordinación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FENOCO:</w:t>
      </w:r>
      <w:r>
        <w:t xml:space="preserve"> </w:t>
      </w:r>
      <w:r>
        <w:t xml:space="preserve">3 interfaces para interoperabilidad nacional</w:t>
      </w:r>
    </w:p>
    <w:bookmarkEnd w:id="14"/>
    <w:bookmarkStart w:id="15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/>
          <w:bCs/>
        </w:rPr>
        <w:t xml:space="preserve">Justificación de Protocolos: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FRA/AREMA 920-2:</w:t>
      </w:r>
      <w:r>
        <w:t xml:space="preserve"> </w:t>
      </w:r>
      <w:r>
        <w:t xml:space="preserve">Comunicaciones RED TETRA (Misión Crítica) estándar internacional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FRA/AREMA 438:</w:t>
      </w:r>
      <w:r>
        <w:t xml:space="preserve"> </w:t>
      </w:r>
      <w:r>
        <w:t xml:space="preserve">Señalización ferroviaria 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FRA/AREMA 930:</w:t>
      </w:r>
      <w:r>
        <w:t xml:space="preserve"> </w:t>
      </w:r>
      <w:r>
        <w:t xml:space="preserve">Sistemas de señalización interoperables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FRA/AREMA 950:</w:t>
      </w:r>
      <w:r>
        <w:t xml:space="preserve"> </w:t>
      </w:r>
      <w:r>
        <w:t xml:space="preserve">Control de tráfico coordinado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FFFIS:</w:t>
      </w:r>
      <w:r>
        <w:t xml:space="preserve"> </w:t>
      </w:r>
      <w:r>
        <w:t xml:space="preserve">Interfaces CTC-PTC específicas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EN 50159:</w:t>
      </w:r>
      <w:r>
        <w:t xml:space="preserve"> </w:t>
      </w:r>
      <w:r>
        <w:t xml:space="preserve">Seguridad de comunicaciones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unción-y-propósito-de-la-especialidad"/>
    <w:p>
      <w:pPr>
        <w:pStyle w:val="Heading2"/>
      </w:pPr>
      <w:r>
        <w:t xml:space="preserve">🎯 FUNCIÓN Y PROPÓSITO DE LA ESPECIALIDAD</w:t>
      </w:r>
    </w:p>
    <w:bookmarkStart w:id="17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de Sistemas proporciona</w:t>
      </w:r>
      <w:r>
        <w:t xml:space="preserve"> </w:t>
      </w:r>
      <w:r>
        <w:rPr>
          <w:b/>
          <w:bCs/>
        </w:rPr>
        <w:t xml:space="preserve">integración y coordinación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Protocolos:</w:t>
      </w:r>
      <w:r>
        <w:t xml:space="preserve"> </w:t>
      </w:r>
      <w:r>
        <w:t xml:space="preserve">Estándares de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APIs:</w:t>
      </w:r>
      <w:r>
        <w:t xml:space="preserve"> </w:t>
      </w:r>
      <w:r>
        <w:t xml:space="preserve">Comunicación con sistemas externos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Coordinación:</w:t>
      </w:r>
      <w:r>
        <w:t xml:space="preserve"> </w:t>
      </w:r>
      <w:r>
        <w:t xml:space="preserve">Funcionamiento unificado de todos los sistemas</w:t>
      </w:r>
    </w:p>
    <w:bookmarkEnd w:id="17"/>
    <w:bookmarkStart w:id="18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Integración:</w:t>
      </w:r>
      <w:r>
        <w:t xml:space="preserve"> </w:t>
      </w:r>
      <w:r>
        <w:t xml:space="preserve">Sistemas que trabajen como un conjunto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Interoperabilidad:</w:t>
      </w:r>
      <w:r>
        <w:t xml:space="preserve"> </w:t>
      </w:r>
      <w:r>
        <w:t xml:space="preserve">Compatibilidad con FENOCO y estándares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Coordinación de sistemas de seguridad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Gestión integrada de todos los sistemas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mponentes-principales"/>
    <w:p>
      <w:pPr>
        <w:pStyle w:val="Heading2"/>
      </w:pPr>
      <w:r>
        <w:t xml:space="preserve">🏗️ COMPONENTES PRINCIPALES</w:t>
      </w:r>
    </w:p>
    <w:bookmarkStart w:id="20" w:name="sistema-de-integración"/>
    <w:p>
      <w:pPr>
        <w:pStyle w:val="Heading3"/>
      </w:pPr>
      <w:r>
        <w:t xml:space="preserve">1. Sistema de Integración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Coordinación entre todos los sistemas técnicos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Interfaces</w:t>
      </w:r>
      <w:r>
        <w:t xml:space="preserve"> </w:t>
      </w:r>
      <w:r>
        <w:t xml:space="preserve">| 25 críticas | Comunicación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Protocolos</w:t>
      </w:r>
      <w:r>
        <w:t xml:space="preserve"> </w:t>
      </w:r>
      <w:r>
        <w:t xml:space="preserve">| 15 estándares |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APIs</w:t>
      </w:r>
      <w:r>
        <w:t xml:space="preserve"> </w:t>
      </w:r>
      <w:r>
        <w:t xml:space="preserve">| 12 externas | Comunicación con FENOCO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Disponibilidad</w:t>
      </w:r>
      <w:r>
        <w:t xml:space="preserve"> </w:t>
      </w:r>
      <w:r>
        <w:t xml:space="preserve">| 99.95% | Sistemas críticos |</w:t>
      </w:r>
    </w:p>
    <w:bookmarkEnd w:id="20"/>
    <w:bookmarkStart w:id="21" w:name="gateway-de-integración"/>
    <w:p>
      <w:pPr>
        <w:pStyle w:val="Heading3"/>
      </w:pPr>
      <w:r>
        <w:t xml:space="preserve">2. Gateway de Integración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Conversión de protocolos entre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Gateway FRA/AREMA</w:t>
      </w:r>
      <w:r>
        <w:t xml:space="preserve"> </w:t>
      </w:r>
      <w:r>
        <w:t xml:space="preserve">| 1 unidad | Conversión protocolos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 de monitoreo</w:t>
      </w:r>
      <w:r>
        <w:t xml:space="preserve"> </w:t>
      </w:r>
      <w:r>
        <w:t xml:space="preserve">| 1 unidad | Supervisión integrada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 de control</w:t>
      </w:r>
      <w:r>
        <w:t xml:space="preserve"> </w:t>
      </w:r>
      <w:r>
        <w:t xml:space="preserve">| 1 unidad | Coordinación centralizada | ⏳ En desarrollo |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especificaciones-técnicas-clave"/>
    <w:p>
      <w:pPr>
        <w:pStyle w:val="Heading2"/>
      </w:pPr>
      <w:r>
        <w:t xml:space="preserve">📐 ESPECIFICACIONES TÉCNICAS CLAVE</w:t>
      </w:r>
    </w:p>
    <w:bookmarkStart w:id="23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APIs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23"/>
    <w:bookmarkStart w:id="24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25 interfaces críticas operativas</w:t>
      </w:r>
    </w:p>
    <w:p>
      <w:pPr>
        <w:pStyle w:val="Compact"/>
        <w:numPr>
          <w:ilvl w:val="0"/>
          <w:numId w:val="1003"/>
        </w:numPr>
      </w:pPr>
      <w:r>
        <w:t xml:space="preserve">✅ 15 protocolos implementados</w:t>
      </w:r>
    </w:p>
    <w:p>
      <w:pPr>
        <w:pStyle w:val="Compact"/>
        <w:numPr>
          <w:ilvl w:val="0"/>
          <w:numId w:val="1003"/>
        </w:numPr>
      </w:pPr>
      <w:r>
        <w:t xml:space="preserve">✅ 12 APIs funcionando</w:t>
      </w:r>
    </w:p>
    <w:p>
      <w:pPr>
        <w:pStyle w:val="Compact"/>
        <w:numPr>
          <w:ilvl w:val="0"/>
          <w:numId w:val="1003"/>
        </w:numPr>
      </w:pPr>
      <w:r>
        <w:t xml:space="preserve">✅ Gateway de integración operativo</w:t>
      </w:r>
    </w:p>
    <w:p>
      <w:pPr>
        <w:pStyle w:val="Compact"/>
        <w:numPr>
          <w:ilvl w:val="0"/>
          <w:numId w:val="1003"/>
        </w:numPr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ubicación-y-despliegue"/>
    <w:p>
      <w:pPr>
        <w:pStyle w:val="Heading2"/>
      </w:pPr>
      <w:r>
        <w:t xml:space="preserve">📍 UBICACIÓN Y DESPLIEGUE</w:t>
      </w:r>
    </w:p>
    <w:bookmarkStart w:id="26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sistemas de integración están centralizados en el CCO La Dorada y se extienden a todos los sistemas del proyecto.</w:t>
      </w:r>
    </w:p>
    <w:bookmarkEnd w:id="26"/>
    <w:bookmarkStart w:id="27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+ Monitoreo +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Sistemas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+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2" w:name="operación-y-mantenimiento"/>
    <w:p>
      <w:pPr>
        <w:pStyle w:val="Heading2"/>
      </w:pPr>
      <w:r>
        <w:t xml:space="preserve">⚙️ OPERACIÓN Y MANTENIMIENTO</w:t>
      </w:r>
    </w:p>
    <w:bookmarkStart w:id="29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Los sistemas de integración operan 24/7 coordinando todos los sistemas técnicos, con monitoreo automático de interfaces y protocolos.</w:t>
      </w:r>
    </w:p>
    <w:bookmarkEnd w:id="29"/>
    <w:bookmarkStart w:id="30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interfaces críticas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interoperabilidad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Calibración de protocolos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Actualización de software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Certificación de interoperabilidad</w:t>
      </w:r>
    </w:p>
    <w:bookmarkEnd w:id="30"/>
    <w:bookmarkStart w:id="31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técnico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interfaces-con-otras-especialidades"/>
    <w:p>
      <w:pPr>
        <w:pStyle w:val="Heading2"/>
      </w:pPr>
      <w:r>
        <w:t xml:space="preserve">🔗 INTERFACES CON OTRAS ESPECIALIDADES</w:t>
      </w:r>
    </w:p>
    <w:bookmarkStart w:id="33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de Sistemas]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[Integración y Coordinación]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[Funcionamiento Unificado]</w:t>
      </w:r>
    </w:p>
    <w:bookmarkEnd w:id="33"/>
    <w:bookmarkStart w:id="34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9" w:name="supuestos-técnicos-y-limitaciones"/>
    <w:p>
      <w:pPr>
        <w:pStyle w:val="Heading2"/>
      </w:pPr>
      <w:r>
        <w:t xml:space="preserve">📋 SUPUESTOS TÉCNICOS Y LIMITACIONES</w:t>
      </w:r>
    </w:p>
    <w:bookmarkStart w:id="36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en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Protocolos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de conversión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FRA/AREMA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Compatibilidad dual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Degradación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36"/>
    <w:bookmarkStart w:id="37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Dependencia de sistemas:</w:t>
      </w:r>
      <w:r>
        <w:t xml:space="preserve"> </w:t>
      </w:r>
      <w:r>
        <w:t xml:space="preserve">Fallo en un sistema afecta integración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Complejidad:</w:t>
      </w:r>
      <w:r>
        <w:t xml:space="preserve"> </w:t>
      </w:r>
      <w:r>
        <w:t xml:space="preserve">Múltiples interfaces y protocolos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Actualizaciones:</w:t>
      </w:r>
      <w:r>
        <w:t xml:space="preserve"> </w:t>
      </w:r>
      <w:r>
        <w:t xml:space="preserve">Cambios en un sistema afectan integración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Múltiples puntos de acceso</w:t>
      </w:r>
    </w:p>
    <w:bookmarkEnd w:id="37"/>
    <w:bookmarkStart w:id="38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Todos los sistemas técnicos:</w:t>
      </w:r>
      <w:r>
        <w:t xml:space="preserve"> </w:t>
      </w:r>
      <w:r>
        <w:t xml:space="preserve">Dependencia total para funcionamiento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Protocolos estándar:</w:t>
      </w:r>
      <w:r>
        <w:t xml:space="preserve"> </w:t>
      </w:r>
      <w:r>
        <w:t xml:space="preserve">FRA/AREMA, FFFIS, EN 50159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especializado:</w:t>
      </w:r>
      <w:r>
        <w:t xml:space="preserve"> </w:t>
      </w:r>
      <w:r>
        <w:t xml:space="preserve">Integración y mantenimiento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Software especializado:</w:t>
      </w:r>
      <w:r>
        <w:t xml:space="preserve"> </w:t>
      </w:r>
      <w:r>
        <w:t xml:space="preserve">Sistemas de integración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Comunicaciones:</w:t>
      </w:r>
      <w:r>
        <w:t xml:space="preserve"> </w:t>
      </w:r>
      <w:r>
        <w:t xml:space="preserve">Red de datos y telecomunicaciones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Incompatibilidad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de conversión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Múltiples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Actualizaciones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3" w:name="cumplimiento-contractual"/>
    <w:p>
      <w:pPr>
        <w:pStyle w:val="Heading2"/>
      </w:pPr>
      <w:r>
        <w:t xml:space="preserve">📋 CUMPLIMIENTO CONTRACTUAL</w:t>
      </w:r>
    </w:p>
    <w:bookmarkStart w:id="41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Sistemas integrados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Coordinación operacional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Interfaces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Cl13.1 - Interoperabilidad:</w:t>
      </w:r>
      <w:r>
        <w:t xml:space="preserve"> </w:t>
      </w:r>
      <w:r>
        <w:t xml:space="preserve">Compatibilidad FENOCO - En progreso</w:t>
      </w:r>
    </w:p>
    <w:bookmarkEnd w:id="41"/>
    <w:bookmarkStart w:id="42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Sistemas integrados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Coordinación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Interfaces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Cláusula 13.1:</w:t>
      </w:r>
      <w:r>
        <w:t xml:space="preserve"> </w:t>
      </w:r>
      <w:r>
        <w:t xml:space="preserve">Interoperabilidad con FENOCO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documentación-de-soporte"/>
    <w:p>
      <w:pPr>
        <w:pStyle w:val="Heading2"/>
      </w:pPr>
      <w:r>
        <w:t xml:space="preserve">📚 DOCUMENTACIÓN DE SOPORTE</w:t>
      </w:r>
    </w:p>
    <w:bookmarkStart w:id="44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ESPECIALIDAD_04_Ingenieria_Sistemas_Master.md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44"/>
    <w:bookmarkStart w:id="45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 implementados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50" w:name="decisiones-tecnicas-aplicadas"/>
    <w:p>
      <w:pPr>
        <w:pStyle w:val="Heading2"/>
      </w:pPr>
      <w:r>
        <w:t xml:space="preserve">📋 DECISIONES TECNICAS APLICADAS</w:t>
      </w:r>
    </w:p>
    <w:bookmarkStart w:id="49" w:name="software-redes-integracion"/>
    <w:p>
      <w:pPr>
        <w:pStyle w:val="Heading3"/>
      </w:pPr>
      <w:r>
        <w:t xml:space="preserve">Software, redes, integracion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ESPECIALIDAD_04_Ingenieria_Sistemas_Master.md v1.0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2026-03-16T15:43:46Z</dcterms:created>
  <dcterms:modified xsi:type="dcterms:W3CDTF">2026-03-16T15:43:46Z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