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sistema-04-material-rodante"/>
    <w:p>
      <w:pPr>
        <w:pStyle w:val="Heading1"/>
      </w:pPr>
      <w:r>
        <w:t xml:space="preserve">SISTEMA 04: MATERIAL RODANTE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/>
          <w:bCs/>
        </w:rPr>
        <w:t xml:space="preserve">“flota de vehículos”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Sistemas embarcados:</w:t>
      </w:r>
      <w:r>
        <w:t xml:space="preserve"> </w:t>
      </w:r>
      <w:r>
        <w:t xml:space="preserve">PTC PTC Virtual (FRA 236), TETRA + RED TETRA (Misión Crítica), GPS/GNSS, CCTV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14"/>
    <w:bookmarkStart w:id="15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15"/>
    <w:bookmarkStart w:id="16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16"/>
    <w:bookmarkStart w:id="17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17"/>
    <w:bookmarkStart w:id="18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18"/>
    <w:bookmarkStart w:id="19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/>
          <w:bCs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RED TETRA (Misión Crítica)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Event Recorder</w:t>
      </w:r>
      <w:r>
        <w:t xml:space="preserve"> </w:t>
      </w:r>
      <w:r>
        <w:t xml:space="preserve">| Caja negra para eventos | 15 | Locomotoras |</w:t>
      </w:r>
    </w:p>
    <w:bookmarkEnd w:id="19"/>
    <w:bookmarkStart w:id="20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unción-y-propósito-del-sistema"/>
    <w:p>
      <w:pPr>
        <w:pStyle w:val="Heading2"/>
      </w:pPr>
      <w:r>
        <w:t xml:space="preserve">🎯 FUNCIÓN Y PROPÓSITO DEL SISTEMA</w:t>
      </w:r>
    </w:p>
    <w:bookmarkStart w:id="2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/>
          <w:bCs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22"/>
    <w:bookmarkStart w:id="2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23"/>
    <w:bookmarkStart w:id="2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componentes-principales"/>
    <w:p>
      <w:pPr>
        <w:pStyle w:val="Heading2"/>
      </w:pPr>
      <w:r>
        <w:t xml:space="preserve">🏗️ COMPONENTES PRINCIPALES</w:t>
      </w:r>
    </w:p>
    <w:bookmarkStart w:id="26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TETRA (Misión Crítica)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7"/>
    <w:bookmarkStart w:id="28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8"/>
    <w:bookmarkStart w:id="29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specificaciones-técnicas-clave"/>
    <w:p>
      <w:pPr>
        <w:pStyle w:val="Heading2"/>
      </w:pPr>
      <w:r>
        <w:t xml:space="preserve">📐 ESPECIFICACIONES TÉCNICAS CLAVE</w:t>
      </w:r>
    </w:p>
    <w:bookmarkStart w:id="3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31"/>
    <w:bookmarkStart w:id="3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con PTC embarcado PTC Virtual (FRA 236)</w:t>
      </w:r>
    </w:p>
    <w:p>
      <w:pPr>
        <w:pStyle w:val="Compact"/>
        <w:numPr>
          <w:ilvl w:val="0"/>
          <w:numId w:val="1003"/>
        </w:numPr>
      </w:pPr>
      <w:r>
        <w:t xml:space="preserve">✅ 51 vagones con capacidad total de 2,550 toneladas</w:t>
      </w:r>
    </w:p>
    <w:p>
      <w:pPr>
        <w:pStyle w:val="Compact"/>
        <w:numPr>
          <w:ilvl w:val="0"/>
          <w:numId w:val="1003"/>
        </w:numPr>
      </w:pPr>
      <w:r>
        <w:t xml:space="preserve">✅ 15 dispositivos EOT para monitoreo de trenes</w:t>
      </w:r>
    </w:p>
    <w:p>
      <w:pPr>
        <w:pStyle w:val="Compact"/>
        <w:numPr>
          <w:ilvl w:val="0"/>
          <w:numId w:val="1003"/>
        </w:numPr>
      </w:pPr>
      <w:r>
        <w:t xml:space="preserve">✅ 3 talleres operativos para mantenimiento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ubicación-y-despliegue"/>
    <w:p>
      <w:pPr>
        <w:pStyle w:val="Heading2"/>
      </w:pPr>
      <w:r>
        <w:t xml:space="preserve">📍 UBICACIÓN Y DESPLIEGUE</w:t>
      </w:r>
    </w:p>
    <w:bookmarkStart w:id="3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34"/>
    <w:bookmarkStart w:id="3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dt-mr-dt-eot"/>
    <w:p>
      <w:pPr>
        <w:pStyle w:val="Heading3"/>
      </w:pPr>
      <w:r>
        <w:t xml:space="preserve">DT-MR, DT-EOT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04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2026-03-16T15:43:48Z</dcterms:created>
  <dcterms:modified xsi:type="dcterms:W3CDTF">2026-03-16T15:43:48Z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