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/>
          <w:bCs/>
        </w:rPr>
        <w:t xml:space="preserve">“sistema de sostenibilidad”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años.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/>
          <w:bCs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/>
          <w:bCs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Caldas</w:t>
      </w:r>
      <w:r>
        <w:t xml:space="preserve"> </w:t>
      </w:r>
      <w:r>
        <w:t xml:space="preserve">| 45 km | Andino | Montañas y valles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Santander</w:t>
      </w:r>
      <w:r>
        <w:t xml:space="preserve"> </w:t>
      </w:r>
      <w:r>
        <w:t xml:space="preserve">| 150 km | Andino | Montañas y ríos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Norte de Santander</w:t>
      </w:r>
      <w:r>
        <w:t xml:space="preserve"> </w:t>
      </w:r>
      <w:r>
        <w:t xml:space="preserve">| 100 km | Andino | Montañas y valles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/>
          <w:bCs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/>
          <w:bCs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/>
          <w:bCs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indicadores ambientales monitoreados</w:t>
      </w:r>
    </w:p>
    <w:p>
      <w:pPr>
        <w:pStyle w:val="Compact"/>
        <w:numPr>
          <w:ilvl w:val="0"/>
          <w:numId w:val="1003"/>
        </w:numPr>
      </w:pPr>
      <w:r>
        <w:t xml:space="preserve">✅ 100% cumplimiento de licencias</w:t>
      </w:r>
    </w:p>
    <w:p>
      <w:pPr>
        <w:pStyle w:val="Compact"/>
        <w:numPr>
          <w:ilvl w:val="0"/>
          <w:numId w:val="1003"/>
        </w:numPr>
      </w:pPr>
      <w:r>
        <w:t xml:space="preserve">✅ 0 pérdida neta de biodiversidad</w:t>
      </w:r>
    </w:p>
    <w:p>
      <w:pPr>
        <w:pStyle w:val="Compact"/>
        <w:numPr>
          <w:ilvl w:val="0"/>
          <w:numId w:val="1003"/>
        </w:numPr>
      </w:pPr>
      <w:r>
        <w:t xml:space="preserve">✅ Gestión integral de residuos</w:t>
      </w:r>
    </w:p>
    <w:p>
      <w:pPr>
        <w:pStyle w:val="Compact"/>
        <w:numPr>
          <w:ilvl w:val="0"/>
          <w:numId w:val="1003"/>
        </w:numPr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2026-03-13T19:55:18Z</dcterms:created>
  <dcterms:modified xsi:type="dcterms:W3CDTF">2026-03-13T19:55:18Z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