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/>
          <w:bCs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/>
          <w:bCs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/>
          <w:bCs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/>
          <w:bCs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21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/>
          <w:bCs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20" w:name="estadísticas-generales"/>
    <w:p>
      <w:pPr>
        <w:pStyle w:val="Heading3"/>
      </w:pPr>
      <w:r>
        <w:rPr>
          <w:b/>
          <w:bCs/>
        </w:rPr>
        <w:t xml:space="preserve">📊 ESTADÍSTICAS GENERALES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55"/>
        <w:gridCol w:w="34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ATP, Fibra, Enclavamientos, SCADA, Punto de referencia virtuals,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6" w:name="decisiones-técnicas-por-sistema"/>
    <w:p>
      <w:pPr>
        <w:pStyle w:val="Heading2"/>
      </w:pPr>
      <w:r>
        <w:t xml:space="preserve">📋 DECISIONES TÉCNICAS POR SISTEMA</w:t>
      </w:r>
    </w:p>
    <w:bookmarkStart w:id="35" w:name="sistema-1-control-y-señalización"/>
    <w:p>
      <w:pPr>
        <w:pStyle w:val="Heading3"/>
      </w:pPr>
      <w:r>
        <w:t xml:space="preserve">🚦</w:t>
      </w:r>
      <w:r>
        <w:t xml:space="preserve"> </w:t>
      </w:r>
      <w:r>
        <w:rPr>
          <w:b/>
          <w:bCs/>
        </w:rPr>
        <w:t xml:space="preserve">SISTEMA 1: CONTROL Y SEÑALIZACIÓN</w:t>
      </w:r>
    </w:p>
    <w:bookmarkStart w:id="26" w:name="ctc-control-centralizado-de-tráfico"/>
    <w:p>
      <w:pPr>
        <w:pStyle w:val="Heading4"/>
      </w:pPr>
      <w:r>
        <w:rPr>
          <w:b/>
          <w:bCs/>
        </w:rPr>
        <w:t xml:space="preserve">1.1 CTC (Control Centralizado de Tráfico)</w:t>
      </w:r>
    </w:p>
    <w:bookmarkStart w:id="22" w:name="dt-ctc-001-2025-10-07"/>
    <w:p>
      <w:pPr>
        <w:pStyle w:val="Heading5"/>
      </w:pPr>
      <w:r>
        <w:rPr>
          <w:b/>
          <w:bCs/>
        </w:rPr>
        <w:t xml:space="preserve">DT-CTC-001-2025-10-07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22"/>
    <w:bookmarkStart w:id="23" w:name="dt-ctc-002-2025-10-08"/>
    <w:p>
      <w:pPr>
        <w:pStyle w:val="Heading5"/>
      </w:pPr>
      <w:r>
        <w:rPr>
          <w:b/>
          <w:bCs/>
        </w:rPr>
        <w:t xml:space="preserve">DT-CTC-002-2025-10-08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Gestión integral 526 km, arquitectura virtualizada, sin señalización física tradicional, ATP embarcado + 5 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Capacidades justificadas:</w:t>
      </w:r>
    </w:p>
    <w:p>
      <w:pPr>
        <w:pStyle w:val="Compact"/>
        <w:numPr>
          <w:ilvl w:val="1"/>
          <w:numId w:val="1003"/>
        </w:numPr>
      </w:pPr>
      <w:r>
        <w:t xml:space="preserve">Gestión 526 km de corredor</w:t>
      </w:r>
    </w:p>
    <w:p>
      <w:pPr>
        <w:pStyle w:val="Compact"/>
        <w:numPr>
          <w:ilvl w:val="1"/>
          <w:numId w:val="1003"/>
        </w:numPr>
      </w:pPr>
      <w:r>
        <w:t xml:space="preserve">Arquitectura completamente virtualizada</w:t>
      </w:r>
    </w:p>
    <w:p>
      <w:pPr>
        <w:pStyle w:val="Compact"/>
        <w:numPr>
          <w:ilvl w:val="1"/>
          <w:numId w:val="1003"/>
        </w:numPr>
      </w:pPr>
      <w:r>
        <w:t xml:space="preserve">Integración ATP embarcado</w:t>
      </w:r>
    </w:p>
    <w:p>
      <w:pPr>
        <w:pStyle w:val="Compact"/>
        <w:numPr>
          <w:ilvl w:val="1"/>
          <w:numId w:val="1003"/>
        </w:numPr>
      </w:pPr>
      <w:r>
        <w:t xml:space="preserve">5 enclavamientos ENCE</w:t>
      </w:r>
    </w:p>
    <w:p>
      <w:pPr>
        <w:pStyle w:val="Compact"/>
        <w:numPr>
          <w:ilvl w:val="1"/>
          <w:numId w:val="1003"/>
        </w:numPr>
      </w:pPr>
      <w:r>
        <w:t xml:space="preserve">Sin señalización física tradicional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23"/>
    <w:bookmarkStart w:id="24" w:name="dt-ctc-003-2025-10-08"/>
    <w:p>
      <w:pPr>
        <w:pStyle w:val="Heading5"/>
      </w:pPr>
      <w:r>
        <w:rPr>
          <w:b/>
          <w:bCs/>
        </w:rPr>
        <w:t xml:space="preserve">DT-CTC-003-2025-10-08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Clarificar que es arquitectura 100% virtual sin señales físicas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24"/>
    <w:bookmarkStart w:id="25" w:name="dt-interfaces-001-2025-10-09-nueva"/>
    <w:p>
      <w:pPr>
        <w:pStyle w:val="Heading5"/>
      </w:pPr>
      <w:r>
        <w:rPr>
          <w:b/>
          <w:bCs/>
        </w:rPr>
        <w:t xml:space="preserve">DT-INTERFACES-001-2025-10-09</w:t>
      </w:r>
      <w:r>
        <w:t xml:space="preserve"> </w:t>
      </w:r>
      <w:r>
        <w:t xml:space="preserve">⭐ NUEVA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Sin cambio numérico (cantidad=1, VU=$150M confirmados)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Justificación técnica:</w:t>
      </w:r>
    </w:p>
    <w:p>
      <w:pPr>
        <w:pStyle w:val="Compact"/>
        <w:numPr>
          <w:ilvl w:val="1"/>
          <w:numId w:val="1006"/>
        </w:numPr>
      </w:pPr>
      <w:r>
        <w:t xml:space="preserve">Bloque lógico de integración (NO hardware físico único)</w:t>
      </w:r>
    </w:p>
    <w:p>
      <w:pPr>
        <w:pStyle w:val="Compact"/>
        <w:numPr>
          <w:ilvl w:val="1"/>
          <w:numId w:val="1006"/>
        </w:numPr>
      </w:pPr>
      <w:r>
        <w:t xml:space="preserve">Conecta: CTC ↔ PTC/PTC VIRTUAL L2 ↔ FENOCO ↔ TETRA ↔ Fibra ↔ ITS</w:t>
      </w:r>
    </w:p>
    <w:p>
      <w:pPr>
        <w:pStyle w:val="Compact"/>
        <w:numPr>
          <w:ilvl w:val="1"/>
          <w:numId w:val="1006"/>
        </w:numPr>
      </w:pPr>
      <w:r>
        <w:t xml:space="preserve">Composición: Gateways industriales + Switches borde + Firewalls IEC 62443 + Middleware UIC 918-4 + Licencias software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Alcance $150M incluye:</w:t>
      </w:r>
    </w:p>
    <w:p>
      <w:pPr>
        <w:pStyle w:val="Compact"/>
        <w:numPr>
          <w:ilvl w:val="1"/>
          <w:numId w:val="1007"/>
        </w:numPr>
      </w:pPr>
      <w:r>
        <w:t xml:space="preserve">Licencias integración (protocolos, middleware)</w:t>
      </w:r>
    </w:p>
    <w:p>
      <w:pPr>
        <w:pStyle w:val="Compact"/>
        <w:numPr>
          <w:ilvl w:val="1"/>
          <w:numId w:val="1007"/>
        </w:numPr>
      </w:pPr>
      <w:r>
        <w:t xml:space="preserve">Configuración redundancia N+1</w:t>
      </w:r>
    </w:p>
    <w:p>
      <w:pPr>
        <w:pStyle w:val="Compact"/>
        <w:numPr>
          <w:ilvl w:val="1"/>
          <w:numId w:val="1007"/>
        </w:numPr>
      </w:pPr>
      <w:r>
        <w:t xml:space="preserve">Ensayos FAT/SAT interoperabilidad</w:t>
      </w:r>
    </w:p>
    <w:p>
      <w:pPr>
        <w:pStyle w:val="Compact"/>
        <w:numPr>
          <w:ilvl w:val="1"/>
          <w:numId w:val="1007"/>
        </w:numPr>
      </w:pPr>
      <w:r>
        <w:t xml:space="preserve">Integración entorno virtual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Riesgos mitigados:</w:t>
      </w:r>
      <w:r>
        <w:t xml:space="preserve"> </w:t>
      </w:r>
      <w:r>
        <w:t xml:space="preserve">R-INT-001 (trazabilidad integración), R-INT-002 (ambigüedad alcance)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Metadata enriquecida:</w:t>
      </w:r>
      <w:r>
        <w:t xml:space="preserve"> </w:t>
      </w:r>
      <w:r>
        <w:t xml:space="preserve">✅ Actualizada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 2025-10-09</w:t>
      </w:r>
    </w:p>
    <w:bookmarkEnd w:id="25"/>
    <w:bookmarkEnd w:id="26"/>
    <w:bookmarkStart w:id="32" w:name="enclavamientos-ence"/>
    <w:p>
      <w:pPr>
        <w:pStyle w:val="Heading4"/>
      </w:pPr>
      <w:r>
        <w:rPr>
          <w:b/>
          <w:bCs/>
        </w:rPr>
        <w:t xml:space="preserve">1.3 Enclavamientos ENCE</w:t>
      </w:r>
    </w:p>
    <w:bookmarkStart w:id="27" w:name="dt-ence-001-2025-10-07"/>
    <w:p>
      <w:pPr>
        <w:pStyle w:val="Heading5"/>
      </w:pPr>
      <w:r>
        <w:rPr>
          <w:b/>
          <w:bCs/>
        </w:rPr>
        <w:t xml:space="preserve">DT-ENCE-001-2025-10-07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27"/>
    <w:bookmarkStart w:id="28" w:name="dt-ence-002-2025-10-07"/>
    <w:p>
      <w:pPr>
        <w:pStyle w:val="Heading5"/>
      </w:pPr>
      <w:r>
        <w:rPr>
          <w:b/>
          <w:bCs/>
        </w:rPr>
        <w:t xml:space="preserve">DT-ENCE-002-2025-10-07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10"/>
        </w:numPr>
      </w:pPr>
      <w:r>
        <w:t xml:space="preserve">Cotización actualizada</w:t>
      </w:r>
    </w:p>
    <w:p>
      <w:pPr>
        <w:pStyle w:val="Compact"/>
        <w:numPr>
          <w:ilvl w:val="1"/>
          <w:numId w:val="1010"/>
        </w:numPr>
      </w:pPr>
      <w:r>
        <w:t xml:space="preserve">Documentación de alcance de configuración para 5 enclavamientos</w:t>
      </w:r>
    </w:p>
    <w:p>
      <w:pPr>
        <w:pStyle w:val="Compact"/>
        <w:numPr>
          <w:ilvl w:val="1"/>
          <w:numId w:val="1010"/>
        </w:numPr>
      </w:pPr>
      <w:r>
        <w:t xml:space="preserve">Incluye parametrización, lógica seguridad, interfaces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28"/>
    <w:bookmarkStart w:id="29" w:name="dt-ence-003-2025-10-07"/>
    <w:p>
      <w:pPr>
        <w:pStyle w:val="Heading5"/>
      </w:pPr>
      <w:r>
        <w:rPr>
          <w:b/>
          <w:bCs/>
        </w:rPr>
        <w:t xml:space="preserve">DT-ENCE-003-2025-10-07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12"/>
        </w:numPr>
      </w:pPr>
      <w:r>
        <w:t xml:space="preserve">Cotización real de fabricante</w:t>
      </w:r>
    </w:p>
    <w:p>
      <w:pPr>
        <w:pStyle w:val="Compact"/>
        <w:numPr>
          <w:ilvl w:val="1"/>
          <w:numId w:val="1012"/>
        </w:numPr>
      </w:pPr>
      <w:r>
        <w:t xml:space="preserve">Documentación detallada de composición</w:t>
      </w:r>
    </w:p>
    <w:p>
      <w:pPr>
        <w:pStyle w:val="Compact"/>
        <w:numPr>
          <w:ilvl w:val="1"/>
          <w:numId w:val="1012"/>
        </w:numPr>
      </w:pPr>
      <w:r>
        <w:t xml:space="preserve">5 enclavamientos según AT1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29"/>
    <w:bookmarkStart w:id="30" w:name="dt-ence-004-2025-10-07"/>
    <w:p>
      <w:pPr>
        <w:pStyle w:val="Heading5"/>
      </w:pPr>
      <w:r>
        <w:rPr>
          <w:b/>
          <w:bCs/>
        </w:rPr>
        <w:t xml:space="preserve">DT-ENCE-004-2025-10-07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14"/>
        </w:numPr>
      </w:pPr>
      <w:r>
        <w:t xml:space="preserve">Cantidad definida contractualmente en AT1</w:t>
      </w:r>
    </w:p>
    <w:p>
      <w:pPr>
        <w:pStyle w:val="Compact"/>
        <w:numPr>
          <w:ilvl w:val="1"/>
          <w:numId w:val="1014"/>
        </w:numPr>
      </w:pPr>
      <w:r>
        <w:t xml:space="preserve">Confirmación con especialista vía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30"/>
    <w:bookmarkStart w:id="31" w:name="dt-ence-005-2025-10-07"/>
    <w:p>
      <w:pPr>
        <w:pStyle w:val="Heading5"/>
      </w:pPr>
      <w:r>
        <w:rPr>
          <w:b/>
          <w:bCs/>
        </w:rPr>
        <w:t xml:space="preserve">DT-ENCE-005-2025-10-07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31"/>
    <w:bookmarkEnd w:id="32"/>
    <w:bookmarkStart w:id="34" w:name="sistema-atp-embarcado"/>
    <w:p>
      <w:pPr>
        <w:pStyle w:val="Heading4"/>
      </w:pPr>
      <w:r>
        <w:rPr>
          <w:b/>
          <w:bCs/>
        </w:rPr>
        <w:t xml:space="preserve">1.2 Sistema ATP Embarcado</w:t>
      </w:r>
    </w:p>
    <w:bookmarkStart w:id="33" w:name="dt-atp-001-2025-10-09"/>
    <w:p>
      <w:pPr>
        <w:pStyle w:val="Heading5"/>
      </w:pPr>
      <w:r>
        <w:rPr>
          <w:b/>
          <w:bCs/>
        </w:rPr>
        <w:t xml:space="preserve">DT-ATP-001-2025-10-09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1.2.100 - Computadora ATP embarcada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pStyle w:val="Compact"/>
        <w:numPr>
          <w:ilvl w:val="1"/>
          <w:numId w:val="1017"/>
        </w:numPr>
      </w:pPr>
      <w:r>
        <w:t xml:space="preserve">Cantidad: 8 locomotoras operativas + 2 respaldo</w:t>
      </w:r>
    </w:p>
    <w:p>
      <w:pPr>
        <w:pStyle w:val="Compact"/>
        <w:numPr>
          <w:ilvl w:val="1"/>
          <w:numId w:val="1017"/>
        </w:numPr>
      </w:pPr>
      <w:r>
        <w:t xml:space="preserve">Computadora ATP PTC VIRTUAL L2 homologada CENELEC SIL-4</w:t>
      </w:r>
    </w:p>
    <w:p>
      <w:pPr>
        <w:pStyle w:val="Compact"/>
        <w:numPr>
          <w:ilvl w:val="1"/>
          <w:numId w:val="1017"/>
        </w:numPr>
      </w:pPr>
      <w:r>
        <w:t xml:space="preserve">Integración con RBC y punto de referencia virtuals europunto de referencia virtual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Referencias contractuales:</w:t>
      </w:r>
    </w:p>
    <w:p>
      <w:pPr>
        <w:pStyle w:val="Compact"/>
        <w:numPr>
          <w:ilvl w:val="1"/>
          <w:numId w:val="1018"/>
        </w:numPr>
      </w:pPr>
      <w:r>
        <w:t xml:space="preserve">AT1 §2.1: Requerimientos ATP embarcado</w:t>
      </w:r>
    </w:p>
    <w:p>
      <w:pPr>
        <w:pStyle w:val="Compact"/>
        <w:numPr>
          <w:ilvl w:val="1"/>
          <w:numId w:val="1018"/>
        </w:numPr>
      </w:pPr>
      <w:r>
        <w:t xml:space="preserve">AT1 §3.5: Especificaciones técnicas PTC VIRTUAL</w:t>
      </w:r>
    </w:p>
    <w:p>
      <w:pPr>
        <w:pStyle w:val="Compact"/>
        <w:numPr>
          <w:ilvl w:val="1"/>
          <w:numId w:val="1018"/>
        </w:numPr>
      </w:pPr>
      <w:r>
        <w:t xml:space="preserve">AT10 §1.2: Cálculo de flota (capacidad transporte)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Metadata enriquecida:</w:t>
      </w:r>
      <w:r>
        <w:t xml:space="preserve"> </w:t>
      </w:r>
      <w:r>
        <w:t xml:space="preserve">✅ Actualizada con criterios diseño, supuestos y referencias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8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/>
          <w:bCs/>
        </w:rPr>
        <w:t xml:space="preserve">SISTEMA 2: TELECOMUNICACIONES</w:t>
      </w:r>
    </w:p>
    <w:bookmarkStart w:id="37" w:name="tetra"/>
    <w:p>
      <w:pPr>
        <w:pStyle w:val="Heading4"/>
      </w:pPr>
      <w:r>
        <w:rPr>
          <w:b/>
          <w:bCs/>
        </w:rPr>
        <w:t xml:space="preserve">2.1 TETRA</w:t>
      </w:r>
    </w:p>
    <w:bookmarkStart w:id="36" w:name="dt-tetra-001-2025-10-07"/>
    <w:p>
      <w:pPr>
        <w:pStyle w:val="Heading5"/>
      </w:pPr>
      <w:r>
        <w:rPr>
          <w:b/>
          <w:bCs/>
        </w:rPr>
        <w:t xml:space="preserve">DT-TETRA-001-2025-10-07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39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/>
          <w:bCs/>
        </w:rPr>
        <w:t xml:space="preserve">SISTEMA 3: FIBRA ÓPTICA</w:t>
      </w:r>
    </w:p>
    <w:p>
      <w:pPr>
        <w:pStyle w:val="FirstParagraph"/>
      </w:pPr>
      <w:r>
        <w:rPr>
          <w:i/>
          <w:iCs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39"/>
    <w:bookmarkStart w:id="43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/>
          <w:bCs/>
        </w:rPr>
        <w:t xml:space="preserve">SISTEMA 4: ITS Y SEGURIDAD</w:t>
      </w:r>
    </w:p>
    <w:bookmarkStart w:id="42" w:name="cctv"/>
    <w:p>
      <w:pPr>
        <w:pStyle w:val="Heading4"/>
      </w:pPr>
      <w:r>
        <w:rPr>
          <w:b/>
          <w:bCs/>
        </w:rPr>
        <w:t xml:space="preserve">4.1 CCTV</w:t>
      </w:r>
    </w:p>
    <w:bookmarkStart w:id="40" w:name="dt-cctv-001-2025-10-07"/>
    <w:p>
      <w:pPr>
        <w:pStyle w:val="Heading5"/>
      </w:pPr>
      <w:r>
        <w:rPr>
          <w:b/>
          <w:bCs/>
        </w:rPr>
        <w:t xml:space="preserve">DT-CCTV-001-2025-10-07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1"/>
        </w:numPr>
      </w:pPr>
      <w:r>
        <w:t xml:space="preserve">Cobertura ampliada del sistema CCTV</w:t>
      </w:r>
    </w:p>
    <w:p>
      <w:pPr>
        <w:pStyle w:val="Compact"/>
        <w:numPr>
          <w:ilvl w:val="1"/>
          <w:numId w:val="1021"/>
        </w:numPr>
      </w:pPr>
      <w:r>
        <w:t xml:space="preserve">Más cámaras para cubrir puntos críticos</w:t>
      </w:r>
    </w:p>
    <w:p>
      <w:pPr>
        <w:pStyle w:val="Compact"/>
        <w:numPr>
          <w:ilvl w:val="1"/>
          <w:numId w:val="1021"/>
        </w:numPr>
      </w:pPr>
      <w:r>
        <w:t xml:space="preserve">Precio actualizado por cantidad mayor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40"/>
    <w:bookmarkStart w:id="41" w:name="dt-control-001-2025-10-07"/>
    <w:p>
      <w:pPr>
        <w:pStyle w:val="Heading5"/>
      </w:pPr>
      <w:r>
        <w:rPr>
          <w:b/>
          <w:bCs/>
        </w:rPr>
        <w:t xml:space="preserve">DT-CONTROL-001-2025-10-07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/>
          <w:bCs/>
        </w:rPr>
        <w:t xml:space="preserve">SISTEMA 5: SCADA Y POTENCIA</w:t>
      </w:r>
    </w:p>
    <w:bookmarkStart w:id="47" w:name="scada"/>
    <w:p>
      <w:pPr>
        <w:pStyle w:val="Heading4"/>
      </w:pPr>
      <w:r>
        <w:rPr>
          <w:b/>
          <w:bCs/>
        </w:rPr>
        <w:t xml:space="preserve">5.3 SCADA</w:t>
      </w:r>
    </w:p>
    <w:bookmarkStart w:id="44" w:name="dt-scada-001-2025-10-07"/>
    <w:p>
      <w:pPr>
        <w:pStyle w:val="Heading5"/>
      </w:pPr>
      <w:r>
        <w:rPr>
          <w:b/>
          <w:bCs/>
        </w:rPr>
        <w:t xml:space="preserve">DT-SCADA-001-2025-10-07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4"/>
        </w:numPr>
      </w:pPr>
      <w:r>
        <w:t xml:space="preserve">Especificaciones alta disponibilidad</w:t>
      </w:r>
    </w:p>
    <w:p>
      <w:pPr>
        <w:pStyle w:val="Compact"/>
        <w:numPr>
          <w:ilvl w:val="1"/>
          <w:numId w:val="1024"/>
        </w:numPr>
      </w:pPr>
      <w:r>
        <w:t xml:space="preserve">Redundancia para operación ferroviaria crítica</w:t>
      </w:r>
    </w:p>
    <w:p>
      <w:pPr>
        <w:pStyle w:val="Compact"/>
        <w:numPr>
          <w:ilvl w:val="1"/>
          <w:numId w:val="1024"/>
        </w:numPr>
      </w:pPr>
      <w:r>
        <w:t xml:space="preserve">Servidores industriales certificados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44"/>
    <w:bookmarkStart w:id="45" w:name="dt-scada-002-2025-10-07"/>
    <w:p>
      <w:pPr>
        <w:pStyle w:val="Heading5"/>
      </w:pPr>
      <w:r>
        <w:rPr>
          <w:b/>
          <w:bCs/>
        </w:rPr>
        <w:t xml:space="preserve">DT-SCADA-002-2025-10-07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6"/>
        </w:numPr>
      </w:pPr>
      <w:r>
        <w:t xml:space="preserve">Capacidades avanzadas para 526 km</w:t>
      </w:r>
    </w:p>
    <w:p>
      <w:pPr>
        <w:pStyle w:val="Compact"/>
        <w:numPr>
          <w:ilvl w:val="1"/>
          <w:numId w:val="1026"/>
        </w:numPr>
      </w:pPr>
      <w:r>
        <w:t xml:space="preserve">Arquitectura distribuida y redundante</w:t>
      </w:r>
    </w:p>
    <w:p>
      <w:pPr>
        <w:pStyle w:val="Compact"/>
        <w:numPr>
          <w:ilvl w:val="1"/>
          <w:numId w:val="1026"/>
        </w:numPr>
      </w:pPr>
      <w:r>
        <w:t xml:space="preserve">Licencias para operación crítica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45"/>
    <w:bookmarkStart w:id="46" w:name="dt-scada-003-2025-10-07"/>
    <w:p>
      <w:pPr>
        <w:pStyle w:val="Heading5"/>
      </w:pPr>
      <w:r>
        <w:rPr>
          <w:b/>
          <w:bCs/>
        </w:rPr>
        <w:t xml:space="preserve">DT-SCADA-003-2025-10-07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8"/>
        </w:numPr>
      </w:pPr>
      <w:r>
        <w:t xml:space="preserve">Equipos red L2/L3 certificados uso ferroviario</w:t>
      </w:r>
    </w:p>
    <w:p>
      <w:pPr>
        <w:pStyle w:val="Compact"/>
        <w:numPr>
          <w:ilvl w:val="1"/>
          <w:numId w:val="1028"/>
        </w:numPr>
      </w:pPr>
      <w:r>
        <w:t xml:space="preserve">Switches industriales para 594 km fibra óptica</w:t>
      </w:r>
    </w:p>
    <w:p>
      <w:pPr>
        <w:pStyle w:val="Compact"/>
        <w:numPr>
          <w:ilvl w:val="1"/>
          <w:numId w:val="1028"/>
        </w:numPr>
      </w:pPr>
      <w:r>
        <w:t xml:space="preserve">Interconexión de todos los sistemas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5" w:name="sistema-6-balizas-y-pasos-a-nivel"/>
    <w:p>
      <w:pPr>
        <w:pStyle w:val="Heading3"/>
      </w:pPr>
      <w:r>
        <w:t xml:space="preserve">🔦</w:t>
      </w:r>
      <w:r>
        <w:t xml:space="preserve"> </w:t>
      </w:r>
      <w:r>
        <w:rPr>
          <w:b/>
          <w:bCs/>
        </w:rPr>
        <w:t xml:space="preserve">SISTEMA 6: BALIZAS Y PASOS A NIVEL</w:t>
      </w:r>
    </w:p>
    <w:bookmarkStart w:id="51" w:name="punto-de-referencia-virtuals"/>
    <w:p>
      <w:pPr>
        <w:pStyle w:val="Heading4"/>
      </w:pPr>
      <w:r>
        <w:rPr>
          <w:b/>
          <w:bCs/>
        </w:rPr>
        <w:t xml:space="preserve">6.1 Punto de referencia virtuals</w:t>
      </w:r>
    </w:p>
    <w:bookmarkStart w:id="49" w:name="dt-baliza-001-2025-10-07"/>
    <w:p>
      <w:pPr>
        <w:pStyle w:val="Heading5"/>
      </w:pPr>
      <w:r>
        <w:rPr>
          <w:b/>
          <w:bCs/>
        </w:rPr>
        <w:t xml:space="preserve">DT-BALIZA-001-2025-10-07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4.3.101 - Punto de referencia virtuals tipo A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Eliminación de ítem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→ 0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0"/>
        </w:numPr>
      </w:pPr>
      <w:r>
        <w:t xml:space="preserve">Ítem duplicado o no requerido según ingeniería actualizada</w:t>
      </w:r>
    </w:p>
    <w:p>
      <w:pPr>
        <w:pStyle w:val="Compact"/>
        <w:numPr>
          <w:ilvl w:val="1"/>
          <w:numId w:val="1030"/>
        </w:numPr>
      </w:pPr>
      <w:r>
        <w:t xml:space="preserve">Consolidado en otro ítem de punto de referencia virtuals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49"/>
    <w:bookmarkStart w:id="50" w:name="dt-baliza-002-2025-10-07"/>
    <w:p>
      <w:pPr>
        <w:pStyle w:val="Heading5"/>
      </w:pPr>
      <w:r>
        <w:rPr>
          <w:b/>
          <w:bCs/>
        </w:rPr>
        <w:t xml:space="preserve">DT-BALIZA-002-2025-10-07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4.3.102 - Punto de referencia virtuals tipo B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Eliminación de ítem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→ 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2"/>
        </w:numPr>
      </w:pPr>
      <w:r>
        <w:t xml:space="preserve">Ítem duplicado o no requerido según ingeniería actualizada</w:t>
      </w:r>
    </w:p>
    <w:p>
      <w:pPr>
        <w:pStyle w:val="Compact"/>
        <w:numPr>
          <w:ilvl w:val="1"/>
          <w:numId w:val="1032"/>
        </w:numPr>
      </w:pPr>
      <w:r>
        <w:t xml:space="preserve">Consolidado en otro ítem de punto de referencia virtuals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50"/>
    <w:bookmarkEnd w:id="51"/>
    <w:bookmarkStart w:id="54" w:name="pasos-a-nivel"/>
    <w:p>
      <w:pPr>
        <w:pStyle w:val="Heading4"/>
      </w:pPr>
      <w:r>
        <w:rPr>
          <w:b/>
          <w:bCs/>
        </w:rPr>
        <w:t xml:space="preserve">6.2 Pasos a Nivel</w:t>
      </w:r>
    </w:p>
    <w:bookmarkStart w:id="52" w:name="dt-pan-001-2025-10-07"/>
    <w:p>
      <w:pPr>
        <w:pStyle w:val="Heading5"/>
      </w:pPr>
      <w:r>
        <w:rPr>
          <w:b/>
          <w:bCs/>
        </w:rPr>
        <w:t xml:space="preserve">DT-PAN-001-2025-10-07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4"/>
        </w:numPr>
      </w:pPr>
      <w:r>
        <w:t xml:space="preserve">Complejidad técnica superior a estimación inicial</w:t>
      </w:r>
    </w:p>
    <w:p>
      <w:pPr>
        <w:pStyle w:val="Compact"/>
        <w:numPr>
          <w:ilvl w:val="1"/>
          <w:numId w:val="1034"/>
        </w:numPr>
      </w:pPr>
      <w:r>
        <w:t xml:space="preserve">Integración con sistemas CTC y CCTV</w:t>
      </w:r>
    </w:p>
    <w:p>
      <w:pPr>
        <w:pStyle w:val="Compact"/>
        <w:numPr>
          <w:ilvl w:val="1"/>
          <w:numId w:val="1034"/>
        </w:numPr>
      </w:pPr>
      <w:r>
        <w:t xml:space="preserve">Sensores avanzados y redundancia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52"/>
    <w:bookmarkStart w:id="53" w:name="dt-pan-002-2025-10-07"/>
    <w:p>
      <w:pPr>
        <w:pStyle w:val="Heading5"/>
      </w:pPr>
      <w:r>
        <w:rPr>
          <w:b/>
          <w:bCs/>
        </w:rPr>
        <w:t xml:space="preserve">DT-PAN-002-2025-10-07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6"/>
        </w:numPr>
      </w:pPr>
      <w:r>
        <w:t xml:space="preserve">Tecnología de sensores más avanzada</w:t>
      </w:r>
    </w:p>
    <w:p>
      <w:pPr>
        <w:pStyle w:val="Compact"/>
        <w:numPr>
          <w:ilvl w:val="1"/>
          <w:numId w:val="1036"/>
        </w:numPr>
      </w:pPr>
      <w:r>
        <w:t xml:space="preserve">Mayor precisión y confiabilidad</w:t>
      </w:r>
    </w:p>
    <w:p>
      <w:pPr>
        <w:pStyle w:val="Compact"/>
        <w:numPr>
          <w:ilvl w:val="1"/>
          <w:numId w:val="1036"/>
        </w:numPr>
      </w:pPr>
      <w:r>
        <w:t xml:space="preserve">Certificación ferroviaria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End w:id="56"/>
    <w:bookmarkStart w:id="60" w:name="análisis-de-impacto-consolidado"/>
    <w:p>
      <w:pPr>
        <w:pStyle w:val="Heading2"/>
      </w:pPr>
      <w:r>
        <w:t xml:space="preserve">📊 ANÁLISIS DE IMPACTO CONSOLIDADO</w:t>
      </w:r>
    </w:p>
    <w:bookmarkStart w:id="57" w:name="impacto-presupuestal-por-tipo-de-cambio"/>
    <w:p>
      <w:pPr>
        <w:pStyle w:val="Heading3"/>
      </w:pPr>
      <w:r>
        <w:rPr>
          <w:b/>
          <w:bCs/>
        </w:rPr>
        <w:t xml:space="preserve">💰 IMPACTO PRESUPUESTAL POR TIPO DE CAMBIO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6"/>
        <w:gridCol w:w="2053"/>
        <w:gridCol w:w="1613"/>
        <w:gridCol w:w="19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57"/>
    <w:bookmarkStart w:id="58" w:name="distribución-por-sistema"/>
    <w:p>
      <w:pPr>
        <w:pStyle w:val="Heading3"/>
      </w:pPr>
      <w:r>
        <w:rPr>
          <w:b/>
          <w:bCs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 de referencia virtuals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58"/>
    <w:bookmarkStart w:id="59" w:name="riesgos-mitigados"/>
    <w:p>
      <w:pPr>
        <w:pStyle w:val="Heading3"/>
      </w:pPr>
      <w:r>
        <w:rPr>
          <w:b/>
          <w:bCs/>
        </w:rPr>
        <w:t xml:space="preserve">⚠️ RIESGOS MITIGADOS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3"/>
        <w:gridCol w:w="2190"/>
        <w:gridCol w:w="2527"/>
        <w:gridCol w:w="13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DT-ATP-001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“criterio técnico”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trazabilidad-documental"/>
    <w:p>
      <w:pPr>
        <w:pStyle w:val="Heading2"/>
      </w:pPr>
      <w:r>
        <w:t xml:space="preserve">📚 TRAZABILIDAD DOCUMENTAL</w:t>
      </w:r>
    </w:p>
    <w:bookmarkStart w:id="61" w:name="nivel-1-wbs-y-planificación"/>
    <w:p>
      <w:pPr>
        <w:pStyle w:val="Heading3"/>
      </w:pPr>
      <w:r>
        <w:rPr>
          <w:b/>
          <w:bCs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pStyle w:val="Compact"/>
        <w:numPr>
          <w:ilvl w:val="0"/>
          <w:numId w:val="1037"/>
        </w:numPr>
      </w:pPr>
      <w:r>
        <w:t xml:space="preserve">Interfaces HTML (EDT Detalle, Presupuesto, Cronograma) - Sincronizadas</w:t>
      </w:r>
    </w:p>
    <w:bookmarkEnd w:id="61"/>
    <w:bookmarkStart w:id="62" w:name="nivel-2-ingeniería-de-detalle"/>
    <w:p>
      <w:pPr>
        <w:pStyle w:val="Heading3"/>
      </w:pPr>
      <w:r>
        <w:rPr>
          <w:b/>
          <w:bCs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62"/>
    <w:bookmarkStart w:id="63" w:name="nivel-3-ingeniería-conceptual"/>
    <w:p>
      <w:pPr>
        <w:pStyle w:val="Heading3"/>
      </w:pPr>
      <w:r>
        <w:rPr>
          <w:b/>
          <w:bCs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pStyle w:val="Compact"/>
        <w:numPr>
          <w:ilvl w:val="0"/>
          <w:numId w:val="1039"/>
        </w:numPr>
      </w:pPr>
      <w:r>
        <w:t xml:space="preserve">Pendiente actualizar según DTs aplicables</w:t>
      </w:r>
    </w:p>
    <w:bookmarkEnd w:id="63"/>
    <w:bookmarkStart w:id="64" w:name="nivel-4-documentos-maestros"/>
    <w:p>
      <w:pPr>
        <w:pStyle w:val="Heading3"/>
      </w:pPr>
      <w:r>
        <w:rPr>
          <w:b/>
          <w:bCs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64"/>
    <w:bookmarkStart w:id="65" w:name="nivel-5-entregables-consolidados"/>
    <w:p>
      <w:pPr>
        <w:pStyle w:val="Heading3"/>
      </w:pPr>
      <w:r>
        <w:rPr>
          <w:b/>
          <w:bCs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41"/>
        </w:numPr>
      </w:pPr>
      <w:r>
        <w:t xml:space="preserve">Sistemas Master actualizados en Carpeta X</w:t>
      </w:r>
    </w:p>
    <w:p>
      <w:pPr>
        <w:pStyle w:val="Compact"/>
        <w:numPr>
          <w:ilvl w:val="0"/>
          <w:numId w:val="1041"/>
        </w:numPr>
      </w:pPr>
      <w:r>
        <w:t xml:space="preserve">8 archivos Master sincronizados</w:t>
      </w:r>
    </w:p>
    <w:bookmarkEnd w:id="65"/>
    <w:bookmarkStart w:id="66" w:name="nivel-6-índices"/>
    <w:p>
      <w:pPr>
        <w:pStyle w:val="Heading3"/>
      </w:pPr>
      <w:r>
        <w:rPr>
          <w:b/>
          <w:bCs/>
        </w:rPr>
        <w:t xml:space="preserve">NIVEL 6: ÍNDICES</w:t>
      </w:r>
      <w:r>
        <w:t xml:space="preserve"> </w:t>
      </w:r>
      <w:r>
        <w:t xml:space="preserve">⚠️</w:t>
      </w:r>
    </w:p>
    <w:p>
      <w:pPr>
        <w:pStyle w:val="Compact"/>
        <w:numPr>
          <w:ilvl w:val="0"/>
          <w:numId w:val="1042"/>
        </w:numPr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proceso-de-sincronización"/>
    <w:p>
      <w:pPr>
        <w:pStyle w:val="Heading2"/>
      </w:pPr>
      <w:r>
        <w:t xml:space="preserve">🔄 PROCESO DE SINCRONIZACIÓN</w:t>
      </w:r>
    </w:p>
    <w:bookmarkStart w:id="68" w:name="X1b7861e8c56621f35252dac76a6a98cb701f6e4"/>
    <w:p>
      <w:pPr>
        <w:pStyle w:val="Heading3"/>
      </w:pPr>
      <w:r>
        <w:rPr>
          <w:b/>
          <w:bCs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/>
          <w:bCs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/>
          <w:bCs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/>
          <w:bCs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/>
          <w:bCs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/>
          <w:bCs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/>
          <w:bCs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/>
          <w:bCs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para-stakeholders"/>
    <w:p>
      <w:pPr>
        <w:pStyle w:val="Heading2"/>
      </w:pPr>
      <w:r>
        <w:t xml:space="preserve">👥 PARA STAKEHOLDERS</w:t>
      </w:r>
    </w:p>
    <w:bookmarkStart w:id="70" w:name="resumen-para-dirección"/>
    <w:p>
      <w:pPr>
        <w:pStyle w:val="Heading3"/>
      </w:pPr>
      <w:r>
        <w:rPr>
          <w:b/>
          <w:bCs/>
        </w:rPr>
        <w:t xml:space="preserve">📋 RESUMEN PARA DIRECCIÓN: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70"/>
    <w:bookmarkStart w:id="71" w:name="acciones-requeridas"/>
    <w:p>
      <w:pPr>
        <w:pStyle w:val="Heading3"/>
      </w:pPr>
      <w:r>
        <w:rPr>
          <w:b/>
          <w:bCs/>
        </w:rPr>
        <w:t xml:space="preserve">🎯 ACCIONES REQUERIDAS: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71"/>
    <w:bookmarkStart w:id="72" w:name="beneficios-obtenidos"/>
    <w:p>
      <w:pPr>
        <w:pStyle w:val="Heading3"/>
      </w:pPr>
      <w:r>
        <w:rPr>
          <w:b/>
          <w:bCs/>
        </w:rPr>
        <w:t xml:space="preserve">✅ BENEFICIOS OBTENIDOS:</w:t>
      </w:r>
    </w:p>
    <w:p>
      <w:pPr>
        <w:pStyle w:val="Compact"/>
        <w:numPr>
          <w:ilvl w:val="0"/>
          <w:numId w:val="1045"/>
        </w:numPr>
      </w:pPr>
      <w:r>
        <w:t xml:space="preserve">✅ Justificación técnica documentada para cada ítem</w:t>
      </w:r>
    </w:p>
    <w:p>
      <w:pPr>
        <w:pStyle w:val="Compact"/>
        <w:numPr>
          <w:ilvl w:val="0"/>
          <w:numId w:val="1045"/>
        </w:numPr>
      </w:pPr>
      <w:r>
        <w:t xml:space="preserve">✅ Trazabilidad contractual completa (AT1-AT10)</w:t>
      </w:r>
    </w:p>
    <w:p>
      <w:pPr>
        <w:pStyle w:val="Compact"/>
        <w:numPr>
          <w:ilvl w:val="0"/>
          <w:numId w:val="1045"/>
        </w:numPr>
      </w:pPr>
      <w:r>
        <w:t xml:space="preserve">✅ Reducción de riesgos de ambigüedad técnica</w:t>
      </w:r>
    </w:p>
    <w:p>
      <w:pPr>
        <w:pStyle w:val="Compact"/>
        <w:numPr>
          <w:ilvl w:val="0"/>
          <w:numId w:val="1045"/>
        </w:numPr>
      </w:pPr>
      <w:r>
        <w:t xml:space="preserve">✅ Base sólida para auditorías y revisiones</w:t>
      </w:r>
    </w:p>
    <w:p>
      <w:pPr>
        <w:pStyle w:val="Compact"/>
        <w:numPr>
          <w:ilvl w:val="0"/>
          <w:numId w:val="1045"/>
        </w:numPr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/>
          <w:bCs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/>
          <w:bCs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/>
          <w:bCs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/>
          <w:bCs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/>
          <w:bCs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/>
          <w:bCs/>
        </w:rPr>
        <w:t xml:space="preserve">Sistema:</w:t>
      </w:r>
      <w:r>
        <w:t xml:space="preserve"> </w:t>
      </w:r>
      <w:r>
        <w:t xml:space="preserve">OPERATIVO ✅</w:t>
      </w:r>
    </w:p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2026-03-13T19:55:18Z</dcterms:created>
  <dcterms:modified xsi:type="dcterms:W3CDTF">2026-03-13T19:55:18Z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