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“cronograma y recursos”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“plan de trabajo”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36 meses (3 años)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/>
          <w:bCs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Diseño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/>
          <w:bCs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/>
          <w:bCs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Ingenieros</w:t>
      </w:r>
      <w:r>
        <w:t xml:space="preserve"> </w:t>
      </w:r>
      <w:r>
        <w:t xml:space="preserve">| 180 | 15% | Diseño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/>
          <w:bCs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/>
          <w:bCs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/>
          <w:bCs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25 KPIs | Medición de desempeño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Cronograma 36 meses cumplido</w:t>
      </w:r>
    </w:p>
    <w:p>
      <w:pPr>
        <w:pStyle w:val="Compact"/>
        <w:numPr>
          <w:ilvl w:val="0"/>
          <w:numId w:val="1003"/>
        </w:numPr>
      </w:pPr>
      <w:r>
        <w:t xml:space="preserve">✅ Presupuesto $450,000 millones controlado</w:t>
      </w:r>
    </w:p>
    <w:p>
      <w:pPr>
        <w:pStyle w:val="Compact"/>
        <w:numPr>
          <w:ilvl w:val="0"/>
          <w:numId w:val="1003"/>
        </w:numPr>
      </w:pPr>
      <w:r>
        <w:t xml:space="preserve">✅ Recursos humanos 1,200 personas disponibles</w:t>
      </w:r>
    </w:p>
    <w:p>
      <w:pPr>
        <w:pStyle w:val="Compact"/>
        <w:numPr>
          <w:ilvl w:val="0"/>
          <w:numId w:val="1003"/>
        </w:numPr>
      </w:pPr>
      <w:r>
        <w:t xml:space="preserve">✅ Equipos 150 unidades operativos</w:t>
      </w:r>
    </w:p>
    <w:p>
      <w:pPr>
        <w:pStyle w:val="Compact"/>
        <w:numPr>
          <w:ilvl w:val="0"/>
          <w:numId w:val="1003"/>
        </w:numPr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de desempeño y mejoras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2026-03-13T19:55:18Z</dcterms:created>
  <dcterms:modified xsi:type="dcterms:W3CDTF">2026-03-13T19:55:18Z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